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514C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514CD5" w:rsidRDefault="00514CD5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514CD5" w:rsidRDefault="00514CD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514CD5" w:rsidRDefault="00514CD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r>
              <w:t xml:space="preserve">Наказ / </w:t>
            </w:r>
            <w:proofErr w:type="spellStart"/>
            <w:r>
              <w:t>розпорядчий</w:t>
            </w:r>
            <w:proofErr w:type="spellEnd"/>
            <w:r>
              <w:t xml:space="preserve"> документ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gramStart"/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ind w:left="60"/>
              <w:jc w:val="center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r>
              <w:t>24.01.2022 р. № 05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32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514CD5" w:rsidRDefault="00514CD5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 2022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rPr>
                <w:b/>
              </w:rPr>
              <w:t>1014082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t>4082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t xml:space="preserve">  0829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  <w:jc w:val="both"/>
            </w:pPr>
            <w:proofErr w:type="spellStart"/>
            <w:r>
              <w:t>Інші</w:t>
            </w:r>
            <w:proofErr w:type="spellEnd"/>
            <w:r>
              <w:t xml:space="preserve"> заходи в </w:t>
            </w:r>
            <w:proofErr w:type="spellStart"/>
            <w:r>
              <w:t>галузі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</w:t>
            </w:r>
            <w:proofErr w:type="spellStart"/>
            <w:r>
              <w:t>мистецтва</w:t>
            </w:r>
            <w:proofErr w:type="spellEnd"/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14CD5" w:rsidRDefault="005C4997">
            <w:pPr>
              <w:jc w:val="both"/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Обсяг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призначень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асигнувань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z w:val="24"/>
                <w:u w:val="single"/>
              </w:rPr>
              <w:t>586750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у тому </w:t>
            </w:r>
            <w:proofErr w:type="spellStart"/>
            <w:r>
              <w:rPr>
                <w:sz w:val="24"/>
              </w:rPr>
              <w:t>числі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586750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спеціального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.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r>
              <w:rPr>
                <w:sz w:val="24"/>
              </w:rPr>
              <w:t xml:space="preserve">5.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ідстави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2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>:" Про культуру"</w:t>
            </w:r>
            <w:r>
              <w:t>.</w:t>
            </w: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gramStart"/>
            <w:r>
              <w:t>.Б</w:t>
            </w:r>
            <w:proofErr w:type="gramEnd"/>
            <w:r>
              <w:t>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08.07.2010р.№2456-VI.Закон </w:t>
            </w:r>
            <w:proofErr w:type="spellStart"/>
            <w:r>
              <w:t>України</w:t>
            </w:r>
            <w:proofErr w:type="spellEnd"/>
            <w:r>
              <w:t xml:space="preserve">  "Про </w:t>
            </w:r>
            <w:proofErr w:type="spellStart"/>
            <w:r>
              <w:t>Державний</w:t>
            </w:r>
            <w:proofErr w:type="spellEnd"/>
            <w:r>
              <w:t xml:space="preserve"> бюджет </w:t>
            </w:r>
            <w:proofErr w:type="spellStart"/>
            <w:r>
              <w:t>України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 xml:space="preserve">.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 </w:t>
            </w:r>
            <w:proofErr w:type="spellStart"/>
            <w:r>
              <w:t>серпня</w:t>
            </w:r>
            <w:proofErr w:type="spellEnd"/>
            <w:r>
              <w:t xml:space="preserve"> 2014 року №836  "Про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запоровадження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методу </w:t>
            </w:r>
            <w:proofErr w:type="spellStart"/>
            <w:r>
              <w:t>складання</w:t>
            </w:r>
            <w:proofErr w:type="spellEnd"/>
            <w:r>
              <w:t xml:space="preserve">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(</w:t>
            </w:r>
            <w:proofErr w:type="spellStart"/>
            <w:r>
              <w:t>і</w:t>
            </w:r>
            <w:proofErr w:type="gram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).</w:t>
            </w:r>
            <w:proofErr w:type="gramEnd"/>
            <w:r>
              <w:t xml:space="preserve"> </w:t>
            </w:r>
            <w:proofErr w:type="gramStart"/>
            <w:r>
              <w:t xml:space="preserve">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туризму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01.10.2010р.№1150/41"Про </w:t>
            </w:r>
            <w:proofErr w:type="spellStart"/>
            <w:r>
              <w:t>затвердження</w:t>
            </w:r>
            <w:proofErr w:type="spellEnd"/>
            <w:r>
              <w:t xml:space="preserve"> типового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та </w:t>
            </w:r>
            <w:proofErr w:type="spellStart"/>
            <w:r>
              <w:t>результативних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для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у </w:t>
            </w:r>
            <w:proofErr w:type="spellStart"/>
            <w:r>
              <w:t>галузі</w:t>
            </w:r>
            <w:proofErr w:type="spellEnd"/>
            <w:r>
              <w:t xml:space="preserve"> "Кул</w:t>
            </w:r>
            <w:r>
              <w:t>ьтура";</w:t>
            </w:r>
            <w:proofErr w:type="gramEnd"/>
            <w:r>
              <w:t xml:space="preserve"> наказ </w:t>
            </w:r>
            <w:proofErr w:type="spellStart"/>
            <w:r>
              <w:t>Мінфіну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20 </w:t>
            </w:r>
            <w:proofErr w:type="spellStart"/>
            <w:r>
              <w:t>вересня</w:t>
            </w:r>
            <w:proofErr w:type="spellEnd"/>
            <w:r>
              <w:t xml:space="preserve"> 2017 року №793 "Про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та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".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14.12.2010 року №2778-VI "Про культуру" (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 xml:space="preserve"> та </w:t>
            </w:r>
            <w:proofErr w:type="spellStart"/>
            <w:r>
              <w:t>доповненнями</w:t>
            </w:r>
            <w:proofErr w:type="spellEnd"/>
            <w:proofErr w:type="gramStart"/>
            <w:r>
              <w:t xml:space="preserve"> )</w:t>
            </w:r>
            <w:proofErr w:type="gramEnd"/>
            <w:r>
              <w:t xml:space="preserve">: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чотирнадця</w:t>
            </w:r>
            <w:r>
              <w:t>тої</w:t>
            </w:r>
            <w:proofErr w:type="spellEnd"/>
            <w:r>
              <w:t xml:space="preserve"> </w:t>
            </w:r>
            <w:proofErr w:type="spellStart"/>
            <w:r>
              <w:t>сесії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восьмого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23.12.2021 № 39/14-VIII  про бюджет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14CD5" w:rsidRDefault="00514CD5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5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r>
              <w:rPr>
                <w:sz w:val="24"/>
              </w:rPr>
              <w:t xml:space="preserve">6.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організацію</w:t>
            </w:r>
            <w:proofErr w:type="spellEnd"/>
            <w:r>
              <w:t xml:space="preserve"> </w:t>
            </w:r>
            <w:proofErr w:type="spellStart"/>
            <w:r>
              <w:t>відзначення</w:t>
            </w:r>
            <w:proofErr w:type="spellEnd"/>
            <w:r>
              <w:t xml:space="preserve"> свят, державного,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значення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пам"</w:t>
            </w:r>
            <w:r>
              <w:t>ятних</w:t>
            </w:r>
            <w:proofErr w:type="spellEnd"/>
            <w:r>
              <w:t xml:space="preserve"> дат, </w:t>
            </w:r>
            <w:proofErr w:type="spellStart"/>
            <w:r>
              <w:t>історичних</w:t>
            </w:r>
            <w:proofErr w:type="spellEnd"/>
            <w:r>
              <w:t xml:space="preserve"> </w:t>
            </w:r>
            <w:proofErr w:type="spellStart"/>
            <w:r>
              <w:t>подій</w:t>
            </w:r>
            <w:proofErr w:type="spellEnd"/>
            <w:r>
              <w:t xml:space="preserve">, </w:t>
            </w:r>
            <w:proofErr w:type="spellStart"/>
            <w:r>
              <w:t>проведення</w:t>
            </w:r>
            <w:proofErr w:type="spellEnd"/>
            <w:r>
              <w:t xml:space="preserve"> культурно-</w:t>
            </w:r>
            <w:proofErr w:type="spellStart"/>
            <w:r>
              <w:t>мистецьких</w:t>
            </w:r>
            <w:proofErr w:type="spellEnd"/>
            <w:r>
              <w:t xml:space="preserve"> та </w:t>
            </w:r>
            <w:proofErr w:type="spellStart"/>
            <w:r>
              <w:t>навчально-пізнавальних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14CD5" w:rsidRDefault="005C4997">
            <w:r>
              <w:rPr>
                <w:sz w:val="24"/>
              </w:rPr>
              <w:t xml:space="preserve">7.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культурних</w:t>
            </w:r>
            <w:proofErr w:type="spellEnd"/>
            <w:r>
              <w:t xml:space="preserve"> потреб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забезпеченя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t xml:space="preserve"> </w:t>
            </w:r>
            <w:proofErr w:type="spellStart"/>
            <w:r>
              <w:t>відзначення</w:t>
            </w:r>
            <w:proofErr w:type="spellEnd"/>
            <w:r>
              <w:t xml:space="preserve"> свят </w:t>
            </w:r>
            <w:proofErr w:type="gramStart"/>
            <w:r>
              <w:t>державного</w:t>
            </w:r>
            <w:proofErr w:type="gramEnd"/>
            <w:r>
              <w:t xml:space="preserve">,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значення</w:t>
            </w:r>
            <w:proofErr w:type="spellEnd"/>
            <w:r>
              <w:t xml:space="preserve">, </w:t>
            </w:r>
            <w:proofErr w:type="spellStart"/>
            <w:r>
              <w:t>історичних</w:t>
            </w:r>
            <w:proofErr w:type="spellEnd"/>
            <w:r>
              <w:t xml:space="preserve"> </w:t>
            </w:r>
            <w:proofErr w:type="spellStart"/>
            <w:r>
              <w:t>подій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5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14CD5" w:rsidRDefault="005C4997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інформування</w:t>
            </w:r>
            <w:proofErr w:type="spellEnd"/>
            <w:r>
              <w:t xml:space="preserve"> і </w:t>
            </w:r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творчих</w:t>
            </w:r>
            <w:proofErr w:type="spellEnd"/>
            <w:r>
              <w:t xml:space="preserve"> потреб </w:t>
            </w:r>
            <w:proofErr w:type="spellStart"/>
            <w:r>
              <w:t>інтересів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естетичне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5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Напрями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культурних</w:t>
            </w:r>
            <w:proofErr w:type="spellEnd"/>
            <w:r>
              <w:t xml:space="preserve"> потреб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організацій</w:t>
            </w:r>
            <w:proofErr w:type="spell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586 750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586 750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rPr>
                <w:b/>
              </w:rPr>
              <w:t>586 750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rPr>
                <w:b/>
              </w:rPr>
              <w:t>586 750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Перелік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складі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5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місцевої</w:t>
            </w:r>
            <w:proofErr w:type="spellEnd"/>
            <w:r>
              <w:t xml:space="preserve"> / </w:t>
            </w:r>
            <w:proofErr w:type="spellStart"/>
            <w:r>
              <w:t>регіональної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Відзначення</w:t>
            </w:r>
            <w:proofErr w:type="spellEnd"/>
            <w:r>
              <w:t xml:space="preserve"> свят </w:t>
            </w:r>
            <w:proofErr w:type="spellStart"/>
            <w:r>
              <w:t>державного</w:t>
            </w:r>
            <w:proofErr w:type="gramStart"/>
            <w:r>
              <w:t>,р</w:t>
            </w:r>
            <w:proofErr w:type="gramEnd"/>
            <w:r>
              <w:t>егіонального</w:t>
            </w:r>
            <w:proofErr w:type="spellEnd"/>
            <w:r>
              <w:t xml:space="preserve"> ,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значення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586 750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586 750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rPr>
                <w:b/>
              </w:rPr>
              <w:t>586 750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rPr>
                <w:b/>
              </w:rPr>
              <w:t>586 750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r>
              <w:rPr>
                <w:sz w:val="24"/>
              </w:rPr>
              <w:t xml:space="preserve">11.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Показники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Одиниця</w:t>
            </w:r>
            <w:proofErr w:type="spellEnd"/>
            <w:r>
              <w:t xml:space="preserve"> </w:t>
            </w:r>
            <w:proofErr w:type="spellStart"/>
            <w:r>
              <w:t>виміру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Джерело</w:t>
            </w:r>
            <w:proofErr w:type="spellEnd"/>
            <w:r>
              <w:br/>
            </w:r>
            <w:proofErr w:type="spellStart"/>
            <w:r>
              <w:t>інформації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14CD5" w:rsidRDefault="005C4997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14CD5" w:rsidRDefault="005C4997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проведених</w:t>
            </w:r>
            <w:proofErr w:type="spellEnd"/>
            <w:r>
              <w:t xml:space="preserve"> </w:t>
            </w:r>
            <w:proofErr w:type="spellStart"/>
            <w:r>
              <w:t>міжнародних</w:t>
            </w:r>
            <w:proofErr w:type="spellEnd"/>
            <w:r>
              <w:t xml:space="preserve">, </w:t>
            </w:r>
            <w:proofErr w:type="spellStart"/>
            <w:r>
              <w:t>всеукраїнських</w:t>
            </w:r>
            <w:proofErr w:type="gramStart"/>
            <w:r>
              <w:t>,о</w:t>
            </w:r>
            <w:proofErr w:type="gramEnd"/>
            <w:r>
              <w:t>бласних</w:t>
            </w:r>
            <w:proofErr w:type="spellEnd"/>
            <w:r>
              <w:t xml:space="preserve"> та </w:t>
            </w:r>
            <w:proofErr w:type="spellStart"/>
            <w:r>
              <w:t>міських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Звітність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31,00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31,00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на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масових</w:t>
            </w:r>
            <w:proofErr w:type="spellEnd"/>
            <w:r>
              <w:t xml:space="preserve">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кошторис</w:t>
            </w:r>
            <w:proofErr w:type="spellEnd"/>
            <w:r>
              <w:t xml:space="preserve"> установи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586,70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586,70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14CD5" w:rsidRDefault="005C4997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14CD5" w:rsidRDefault="005C4997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звітність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31,00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31,00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5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14CD5" w:rsidRDefault="00514CD5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14CD5" w:rsidRDefault="005C4997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14CD5" w:rsidRDefault="005C4997">
            <w:pPr>
              <w:ind w:left="60"/>
            </w:pPr>
            <w:proofErr w:type="spellStart"/>
            <w:r>
              <w:rPr>
                <w:b/>
              </w:rPr>
              <w:t>ефективності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Средні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на </w:t>
            </w:r>
            <w:proofErr w:type="spellStart"/>
            <w:r>
              <w:t>проведення</w:t>
            </w:r>
            <w:proofErr w:type="spellEnd"/>
            <w:r>
              <w:t xml:space="preserve"> одного заходу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кошторис</w:t>
            </w:r>
            <w:proofErr w:type="spellEnd"/>
            <w:r>
              <w:t xml:space="preserve"> установи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18,90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18,90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14CD5" w:rsidRDefault="005C4997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14CD5" w:rsidRDefault="005C4997">
            <w:pPr>
              <w:ind w:left="60"/>
            </w:pPr>
            <w:proofErr w:type="spellStart"/>
            <w:r>
              <w:rPr>
                <w:b/>
              </w:rPr>
              <w:t>якості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14C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Динаміка</w:t>
            </w:r>
            <w:proofErr w:type="spellEnd"/>
            <w:r>
              <w:t xml:space="preserve"> </w:t>
            </w:r>
            <w:proofErr w:type="spellStart"/>
            <w:r>
              <w:t>збільшення</w:t>
            </w:r>
            <w:proofErr w:type="spellEnd"/>
            <w:r>
              <w:t xml:space="preserve"> </w:t>
            </w:r>
            <w:proofErr w:type="spellStart"/>
            <w:r>
              <w:t>кількості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у </w:t>
            </w:r>
            <w:proofErr w:type="gramStart"/>
            <w:r>
              <w:t>плановому</w:t>
            </w:r>
            <w:proofErr w:type="gramEnd"/>
            <w:r>
              <w:t xml:space="preserve"> </w:t>
            </w:r>
            <w:proofErr w:type="spellStart"/>
            <w:r>
              <w:t>періоді</w:t>
            </w:r>
            <w:proofErr w:type="spellEnd"/>
            <w:r>
              <w:t xml:space="preserve"> </w:t>
            </w:r>
            <w:proofErr w:type="spellStart"/>
            <w:r>
              <w:t>порівняно</w:t>
            </w:r>
            <w:proofErr w:type="spellEnd"/>
            <w:r>
              <w:t xml:space="preserve"> з </w:t>
            </w:r>
            <w:proofErr w:type="spellStart"/>
            <w:r>
              <w:t>минулим</w:t>
            </w:r>
            <w:proofErr w:type="spellEnd"/>
            <w:r>
              <w:t xml:space="preserve"> роком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left="60"/>
            </w:pPr>
            <w:proofErr w:type="spellStart"/>
            <w:r>
              <w:t>розрахунок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r>
              <w:t>Лариса НІКОЛЕНКО</w:t>
            </w: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r>
              <w:t xml:space="preserve">Начальник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4CD5" w:rsidRDefault="005C4997">
            <w:proofErr w:type="spellStart"/>
            <w:r>
              <w:t>Любов</w:t>
            </w:r>
            <w:proofErr w:type="spellEnd"/>
            <w:r>
              <w:t xml:space="preserve"> Дахно</w:t>
            </w: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14CD5" w:rsidRDefault="005C4997">
            <w:r>
              <w:rPr>
                <w:b/>
              </w:rPr>
              <w:t>24.01.2022 р.</w:t>
            </w: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  <w:tr w:rsidR="00514CD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4CD5" w:rsidRDefault="005C4997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1800" w:type="dxa"/>
          </w:tcPr>
          <w:p w:rsidR="00514CD5" w:rsidRDefault="00514CD5">
            <w:pPr>
              <w:pStyle w:val="EMPTYCELLSTYLE"/>
            </w:pPr>
          </w:p>
        </w:tc>
        <w:tc>
          <w:tcPr>
            <w:tcW w:w="400" w:type="dxa"/>
          </w:tcPr>
          <w:p w:rsidR="00514CD5" w:rsidRDefault="00514CD5">
            <w:pPr>
              <w:pStyle w:val="EMPTYCELLSTYLE"/>
            </w:pPr>
          </w:p>
        </w:tc>
      </w:tr>
    </w:tbl>
    <w:p w:rsidR="005C4997" w:rsidRDefault="005C4997"/>
    <w:sectPr w:rsidR="005C499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D5"/>
    <w:rsid w:val="00514CD5"/>
    <w:rsid w:val="005C4997"/>
    <w:rsid w:val="0061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2</cp:revision>
  <dcterms:created xsi:type="dcterms:W3CDTF">2022-01-25T07:15:00Z</dcterms:created>
  <dcterms:modified xsi:type="dcterms:W3CDTF">2022-01-25T07:15:00Z</dcterms:modified>
</cp:coreProperties>
</file>