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44" w:rsidRPr="00B01D44" w:rsidRDefault="00B01D44" w:rsidP="00B01D44">
      <w:pPr>
        <w:tabs>
          <w:tab w:val="left" w:pos="-709"/>
          <w:tab w:val="left" w:pos="0"/>
        </w:tabs>
        <w:spacing w:line="240" w:lineRule="auto"/>
        <w:ind w:left="34" w:firstLine="4502"/>
        <w:rPr>
          <w:rFonts w:ascii="Times New Roman" w:hAnsi="Times New Roman" w:cs="Times New Roman"/>
          <w:sz w:val="28"/>
          <w:szCs w:val="28"/>
          <w:lang w:val="uk-UA"/>
        </w:rPr>
      </w:pPr>
      <w:r w:rsidRPr="00B01D4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01D44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B01D44" w:rsidRPr="00B01D44" w:rsidRDefault="00B01D44" w:rsidP="00B01D44">
      <w:pPr>
        <w:tabs>
          <w:tab w:val="left" w:pos="-709"/>
        </w:tabs>
        <w:spacing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B01D44">
        <w:rPr>
          <w:rFonts w:ascii="Times New Roman" w:hAnsi="Times New Roman" w:cs="Times New Roman"/>
          <w:sz w:val="28"/>
          <w:szCs w:val="28"/>
          <w:lang w:val="uk-UA"/>
        </w:rPr>
        <w:t>Наказом  фінансового відділу виконавчого комітету  Машівської селищної ради</w:t>
      </w:r>
    </w:p>
    <w:p w:rsidR="00B01D44" w:rsidRPr="00B01D44" w:rsidRDefault="00B01D44" w:rsidP="00B01D44">
      <w:pPr>
        <w:tabs>
          <w:tab w:val="left" w:pos="-709"/>
          <w:tab w:val="left" w:pos="0"/>
        </w:tabs>
        <w:spacing w:line="240" w:lineRule="auto"/>
        <w:ind w:left="34" w:firstLine="4502"/>
        <w:rPr>
          <w:rFonts w:ascii="Times New Roman" w:hAnsi="Times New Roman" w:cs="Times New Roman"/>
          <w:sz w:val="28"/>
          <w:szCs w:val="28"/>
          <w:lang w:val="uk-UA"/>
        </w:rPr>
      </w:pPr>
      <w:r w:rsidRPr="00B01D4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971EE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B01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B01D44">
        <w:rPr>
          <w:rFonts w:ascii="Times New Roman" w:hAnsi="Times New Roman" w:cs="Times New Roman"/>
          <w:sz w:val="28"/>
          <w:szCs w:val="28"/>
          <w:lang w:val="uk-UA"/>
        </w:rPr>
        <w:t xml:space="preserve"> 2021 року № </w:t>
      </w:r>
      <w:r w:rsidR="002F4D1B">
        <w:rPr>
          <w:rFonts w:ascii="Times New Roman" w:hAnsi="Times New Roman" w:cs="Times New Roman"/>
          <w:sz w:val="28"/>
          <w:szCs w:val="28"/>
          <w:lang w:val="uk-UA"/>
        </w:rPr>
        <w:t>25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3"/>
          <w:szCs w:val="23"/>
          <w:lang w:val="uk-UA" w:eastAsia="ru-RU"/>
        </w:rPr>
      </w:pPr>
    </w:p>
    <w:p w:rsidR="00472AA1" w:rsidRPr="00B01D44" w:rsidRDefault="00472AA1" w:rsidP="00B01D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 xml:space="preserve">Інструкція з підготовки бюджетних запитів до проєкту бюджету </w:t>
      </w:r>
      <w:r w:rsidR="00B01D44"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Машівської</w:t>
      </w:r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 xml:space="preserve"> </w:t>
      </w:r>
      <w:r w:rsidR="00B01D44"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селищної</w:t>
      </w:r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територіальної громади</w:t>
      </w:r>
    </w:p>
    <w:p w:rsidR="00B01D44" w:rsidRPr="00B01D44" w:rsidRDefault="00B01D44" w:rsidP="00472AA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3"/>
          <w:szCs w:val="23"/>
          <w:lang w:val="uk-UA" w:eastAsia="ru-RU"/>
        </w:rPr>
      </w:pPr>
    </w:p>
    <w:p w:rsidR="00472AA1" w:rsidRPr="00B01D44" w:rsidRDefault="00472AA1" w:rsidP="00B01D4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Загальні положення</w:t>
      </w:r>
    </w:p>
    <w:p w:rsidR="00472AA1" w:rsidRPr="00B01D44" w:rsidRDefault="00472AA1" w:rsidP="00B01D4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Інструкція з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ідготовки бюджетних запитів до проєкту бюджету </w:t>
      </w:r>
      <w:r w:rsidR="00B01D44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Машівської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B01D44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селищної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 територіальної громади (надалі – Інструкція) розроблена відповідно до статті 75 Бюджетного кодексу України і визначає механізм розрахунку показників проєкту місцевого бюджету </w:t>
      </w:r>
      <w:r w:rsid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Машівської селищної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територіальної громади на плановий бюджетний період (надалі – проєкт бюджету ТГ) та прогнозу бюджету </w:t>
      </w:r>
      <w:r w:rsid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селищної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територіальної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громади на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наступні за плановим два бюджетні періоди (надалі – прогноз бюджету ТГ), встановлює порядок складання, розгляду та аналізу бюджетних запитів.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1.2. Головні розпорядники бюджетних кошті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(далі – головний розпорядник) організовують та забезпечують складання бюджетних запитів за відповідним галузевим напрямком, визначеного положенням про такий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ідрозділ, за участю всіх розпорядників коштів нижчого рівня та одержувачів коштів і подають його у визначені терміни та порядку до фінансового </w:t>
      </w:r>
      <w:r w:rsidR="00A3373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відділу виконавчого комітету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Машівської селищної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ради (далі – </w:t>
      </w:r>
      <w:r w:rsidR="00A3373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фінансовий відділ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 в паперовому та електронному вигляді за формами: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БЮДЖЕТНИЙ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ЗАПИТ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2022-2024 роки: загальний (Форма 2022-1, </w:t>
      </w:r>
      <w:r w:rsidRPr="00B01D4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lang w:eastAsia="ru-RU"/>
        </w:rPr>
        <w:t>додаток 1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БЮДЖЕТНИЙ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ЗАПИТ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2022-2024 роки: індивідуальний (Форма 2022-2, </w:t>
      </w:r>
      <w:r w:rsidRPr="00B01D4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lang w:eastAsia="ru-RU"/>
        </w:rPr>
        <w:t>додаток 2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БЮДЖЕТНИЙ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ЗАПИТ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2022-2024 роки: додатковий (Форма 2022-3, </w:t>
      </w:r>
      <w:r w:rsidRPr="00B01D44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lang w:eastAsia="ru-RU"/>
        </w:rPr>
        <w:t>додаток 3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Окремі показники бюджетних запитів головні розпорядники заповнюють спільно з </w:t>
      </w:r>
      <w:r w:rsidR="007D1544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фінансовим відділом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(наприклад, код програмної класифікації видатків та кредитування місцевих бюджетів, дані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ічного звіту, показники розпису бюджету з урахуванням змін тощо).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1.3. Форми бюджетного запиту заповнюються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посл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ідовно: Форма-2 заповнюється на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ідставі показників Форми-1 і лише після заповнення зазначених форм у разі потреби заповнюється Форма-3.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1.4. Усі вартісні показники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формах наводяться у гривнях.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1.5. Разом з бюджетним запитом головні розпорядники подають необхідну для здійснення фінансовим </w:t>
      </w:r>
      <w:r w:rsidR="009C669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відділом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аналізу бюджетного запиту детальну інформацію за формами, які можуть доводитися до головних розпорядників, а також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ідтвердні документи та матеріали.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1.6. Бюджетний запит складається на 202</w:t>
      </w:r>
      <w:r w:rsidR="009C6691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2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– 202</w:t>
      </w:r>
      <w:r w:rsidR="009C6691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4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роки з урахуванням організаційних, фінансових (у тому числі граничних обсягів видатків та надання кредитів загального фонду бюджету ТГ на 2022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ік (далі – граничні обсяги) та прогнозних показників обсягів видатків або надання кредитів загального фонду бюджету ТГ на 2023-2024 роки (далі – прогнозні показники)) та інших обмежень, які можуть доводитися фінансовим </w:t>
      </w:r>
      <w:r w:rsidR="009C669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відділом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головних розпорядникі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1.7. Розрахунок граничних обсягі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прогнозних показників здійснюється з урахуванням: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прогнозних обсягів доході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розміру прожиткового мінімуму та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івня його забезпечення;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розміру мінімальної заробітної плати та посадового окладу працівників І тарифного розрядуЄдиної тарифної сітки розрядів і коефіцієнтів з оплати праці працівників установ, </w:t>
      </w:r>
      <w:hyperlink r:id="rId8" w:anchor="n79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закладів та організацій окремих галузей бюджетної сфери,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затвердженої постановою Кабінету Міні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ів України від 30 серпня 2002 року № 1298 «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(далі – Єдина тарифна сітка);</w:t>
      </w:r>
      <w:proofErr w:type="gramEnd"/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прогнозних цін на енергоносії та тарифі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оплату комунальних послуг;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необхідності передбачення нових (порівняно з поточним бюджетним періодом) першочергових видатків,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тому числі тих, що мають періодичний характер;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необхідності оптимізації витрат, у тому числі шляхом концентрації ресурсів на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іоритетних напрямах діяльності, скорочення непершочергових та виключення неефективних витрат тощо.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1.8. Граничний обсяг та прогнозні показники готуються фінансовим </w:t>
      </w:r>
      <w:r w:rsidR="009C669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відділом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доводяться до головних розпорядників</w:t>
      </w:r>
      <w:r w:rsidR="006566A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загальними сумами за роками.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1.9. Головний розпорядник здійснює розподіл граничного обсягу та прогнозних показників за бюджетними програмами з урахуванням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іоритетів, визначених програмними (стратегічними) документами економічного і соціального розвитку, та планів своєї діяльності на плановий та наступні за плановим два бюджетні періоди.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1.10.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Показники доходів, фінансування, видатків, повернення та надання кредитів за попередній та поточний бюджетні періоди мають відповідати кодам класифікації доходів </w:t>
      </w:r>
      <w:hyperlink r:id="rId9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бюджету,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класифікації фінансування бюджету за типом боргового зобов’язання, економічної класифікації видатків бюджету та класифікації кредитування бюджету з урахуванням змін, внесених до відпов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ідної бюджетної класифікації.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1.11.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метою співставлення показників за бюджетними програмами у разі змін у структурі бюджетних програм звітні показники за попередній бюджетний період та показники поточного бюджетного періоду приводяться у відповідність до </w:t>
      </w:r>
      <w:hyperlink r:id="rId10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програмної класифікації видатків та кредитування місцевих бюджеті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в, що формується у бюджетних запитах на 2022-2024 роки.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разі якщо бюджетна програма не передбачається на 2022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ік: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поточного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бюджетного періоду зазначаються окремим рядком;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за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бюджетною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програмою попереднього бюджетного періоду приводяться у відповідність до </w:t>
      </w:r>
      <w:hyperlink r:id="rId11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програмної класифікації видатків та кредитування місцевих </w:t>
        </w:r>
      </w:hyperlink>
      <w:hyperlink r:id="rId12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бюджеті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в поточного бюджетного періоду, а у разі якщо бюджетна програма у поточному бюджетному періоді не передбачена – зазначаються окремим рядком.</w:t>
      </w:r>
    </w:p>
    <w:p w:rsidR="003971EE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1.12. Для заповнення форм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бюджетного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запиту використовуються: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дані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ічного звіту за попередній бюджетний період, з урахуванням капітальних видатків (далі – звіт за попередній бюджетний період) – для зазначення показників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показники, затверджені розписом бюджету ТГ</w:t>
      </w:r>
      <w:r w:rsidR="00B55ED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 поточний бюджетний період (з урахуванням внесених змін) та до кошторисів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частині власних надходжень бюджетних установ станом на дату, визначену у супроводжуючому листі (далі – розпис на поточний бюджетний період); 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показники видатків та/або надання кредитів, розраховані відповідно до положень </w:t>
      </w:r>
      <w:hyperlink r:id="rId13" w:anchor="n59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розділу ІІ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цієї Інструкції, – для зазначення показників на плановий та наступні за плановим два бюджетні періоди.</w:t>
      </w:r>
      <w:proofErr w:type="gramEnd"/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1.13. У цій Інструкції визначення бюджетних періодів вживаються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таких значеннях: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поточний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ік – період, протягом якого відбувається планування бюджетних показників на наступний рік (2021 рік);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плановий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ік – рік, на який здійснюється планування бюджетних показників (2022 рік);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наступні за плановим два роки – роки,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як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 здійснюється прогноз бюджетних показників, і які є наступними за плановим роком (2023 та 2024 роки).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1.14. Головні розпорядники забезпечують своєчасність, достовірність та змі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поданих до фінансового </w:t>
      </w:r>
      <w:r w:rsidR="00B55ED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відділу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бюджетних запитів, які мають містити всю інформацію, необхідну для аналізу показників проєкту бюджету ТГ та прогнозу бюджету ТГ.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1.15.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разі якщо головний розпоряднику межах доведених граничного обсягу та прогнозних показників пропонує зменшити порівняно з поточним бюджетним періодом видатки та/або надання кредитів загального фонду бюджету ТГ за одними бюджетними програмами та збільшити за іншими, такі пропозиції мають бути обґрунтовані в частині необхідності такого перерозподілу та можливості реалізації головним розпорядником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відповідних бюджетних програм у запропонованих обсягах.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1.16. </w:t>
      </w:r>
      <w:r w:rsidR="00A3373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Фінансовий відділ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здійснює аналіз отриманих від головних розпорядників бюджетних запитів на предмет відповідності меті діяльності (місії) головного розпорядника у відповідній сфері та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іоритетам, визначеним програмними (стратегічними) документами економічного і соціального розвитку, ефективності використання бюджетних коштів, дотримання доведених обмежень та вимог цієї Інструкції.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1.17. На основі результатів аналізу </w:t>
      </w:r>
      <w:r w:rsidR="00A444A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начальник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фінансового </w:t>
      </w:r>
      <w:r w:rsidR="00A444A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відділу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приймає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ішення про включення бюджетного запиту до пропозиції проекту бюджету ТГ перед поданням його на розгляд виконавчим органам відповідних місцевих рад відповідно пункту 5 статті 75 Бюджетного </w:t>
      </w:r>
      <w:hyperlink r:id="rId14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кодексу України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та пункту 1.3 Порядку казначейського обслуговування місцевих бюджетів, затвердженого наказом Міністерства фінансів України від 23 серпня 2012 року № 938.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1.18. У разі подання головним розпорядником бюджетного запиту, складеного з порушенням вимог цієї Інструкції, </w:t>
      </w:r>
      <w:r w:rsidR="00A3373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фінансовий відділ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може повернути такий бюджетний запит головному розпоряднику для приведення його у відповідність до зазначених вимог.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1.19. За порушення виконавчої дисципліни в частині включення недостовірних даних до бюджетних запитів, порушення встановлених термінів подання бюджетних запитів або їх неподання керівники головних розпорядників притягуються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відповідальності згідно з чинним законодавством.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II.Розрахунок видаткі</w:t>
      </w:r>
      <w:proofErr w:type="gramStart"/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proofErr w:type="gramStart"/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та</w:t>
      </w:r>
      <w:proofErr w:type="gramEnd"/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надання кредитів на плановий та наступні за плановим два бюджетні періоди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2.1.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Головний розпорядник забезпечує розподіл граничного обсягу та прогнозних показників за бюджетними програмами (по окремих показниках, наприклад, по оплаті праці – спільно з фінансовим </w:t>
      </w:r>
      <w:r w:rsidR="009C669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відділом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здійснює розрахунок обсягів видатків та надання кредитів, дотримуючись принципів, на яких ґрунтується бюджетна система (ефективності та результативності, справедливості і неупередженості), а також таких принципів:</w:t>
      </w:r>
      <w:proofErr w:type="gramEnd"/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пр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іоритетності, який передбачає спрямування видатків або надання кредитів за бюджетною програмою із урахуванням цілей та завдань, визначених програмними (стратегічними) документами, та реальних можливостей бюджету ТГ;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жорсткої економії бюджетних коштів, який передбачає вжиття заходів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для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планомірної мінімізації витрат усіх видів ресурсів з одночасним забезпеченням належного виконання завдань бюджетної програми;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обґрунтованості витрат «від першої гривні», який передбачає детальні розрахунки в межах коду економічної класифікації видатків або класифікації кредитування з урахуванням кількісних та вартісних факторів, що впливають на обсяг видатків та надання кредитів у плановому та наступних за плановим двох бюджетних періодах.</w:t>
      </w:r>
      <w:proofErr w:type="gramEnd"/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кількісних факторів належать штатна чисельність працівників, чисельність інвалідів, кількість бюджетних установ, обладнання тощо.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 вартісних факторів належать індекси споживчих цін та цін виробників, ціни (тарифи) на товари (роботи, послуги), розмі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прожиткового мінімуму та рівень його забезпечення, розміри мінімальної заробітної плати та посадового окладу працівника І тарифного розряду </w:t>
      </w:r>
      <w:hyperlink r:id="rId15" w:anchor="n79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Єдиної тарифної сітки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тощо.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2.2. Розрахунок обсягів видаткі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та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надання кредитів на 2022-2024 роки здійснюються з урахуванням, зокрема: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нормативно-правових актів, що регулюють діяльність головного розпорядника у відповідній галузі (сфері діяльності),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тому числі надання послуг, гарантованих державою, та інших послуг, що надаються фізичним та юридичним особам;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зобов’язань, передбачених договорами (контрактами);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норм і нормативі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періодичності виконання окремих бюджетних програм, а також окремих заходів, що здійснюються в межах бюджетних програм;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необхідності зменшення заборгованості попередніх бюджетних періодів та недопущення утворення заборгованості за зобов’язаннями 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плановому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наступних за плановим двох бюджетних періодах;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цін і тарифів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поточного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року на відповідні товари (роботи, послуги), закупівлю яких передбачається здійснювати у межах бюджетної програми.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2.3. Розрахунок обсягів видатків та надання кредитів на 2022-2024 роки здійснюється за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кожною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бюджетною програмою як за загальним, так і за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спеціальним фондами у розрізі кодів економічної класифікації видатків </w:t>
      </w:r>
      <w:hyperlink r:id="rId1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ТГ або класифікації кредитування бюджету ТГ.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Обсяг видатків або надання кредитів за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бюджетною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програмою визначається як сума коштів за кодами економічної </w:t>
      </w:r>
      <w:hyperlink r:id="rId17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класифікації видатків бюджету ТГ або класифікації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hyperlink r:id="rId18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кредитування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ТГ</w:t>
      </w:r>
      <w:hyperlink r:id="rId19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.</w:t>
        </w:r>
      </w:hyperlink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2.4. Обсяг надання кредитів на 2022-2024 роки визначається на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ідставі нормативно-правових актів, якими передбачено надання таких кредитів, з урахуванням положень договорів (контрактів), включаючи договори про позики від міжнародних фінансових організацій, договори між головним розпорядником та позичальником тощо, та необхідності повного завершення розпочатих позичальником робіт (здійснення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виплат), що передбачені такими угодами (договорами).</w:t>
      </w:r>
      <w:proofErr w:type="gramEnd"/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2.5. Головні розпорядники</w:t>
      </w:r>
      <w:r w:rsidR="003A79CE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забезпечують включення до бюджетних запитів показників за бюджетними програмами, які забезпечують протягом декількох років виконання інвестиційних проєктів, у разі їх схвалення або відбору у встановленому законодавством порядку та на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ідставі розрахунків обсягу витрат щодо реалізації таких інвестиційних проєктів.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2.6. Обсяг капітальних видатків визначається, враховуючи запланований обсяг робіт згідно з проєктно-кошторисною документацією, ступінь будівельної готовності об’єктів, кількість наявного обладнання та предметів довгострокового користування та ступінь їх фізичного 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морального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зношення. Фактори, що можуть враховуватися при визначенні обсягу капітальних видатків, головним розпорядником визначаються самостійно з урахуванням галузевих особливостей. Вартість товарів (робіт, послуг) має забезпечувати раціональне та економне використання бюджетних кошті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2.7. За результатами розрахунків сума видатків та/або надання кредитів загального фонду за усіма бюджетними програмами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відповідний бюджетний період порівнюється із граничним обсягом та прогнозними показниками.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разі якщо розрахований обсяг видатків та/або надання кредитів загального фонду перевищує граничний обсяг та прогнозні показники, додаткові видатки та/або надання кредитів (сума перевищення) включаються у Форму-3 за умови, що такі видатки нормативно-правовими актами визначені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іоритетними.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2.8. Обсяг видатків та/або надання кредитів спеціального фонду визначається головним розпорядником спільно з фінансовим </w:t>
      </w:r>
      <w:r w:rsidR="009C669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відділом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відповідно до нормативно-правових акті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які передбачають утворення і використання спеціального фонду.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2.9. Розрахунок надходжень спеціального фонду здійснюється відповідно до положень </w:t>
      </w:r>
      <w:hyperlink r:id="rId20" w:anchor="n108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 xml:space="preserve">пункту 17 Порядку складання, розгляду, затвердження та основних </w:t>
        </w:r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lastRenderedPageBreak/>
          <w:t>вимог до </w:t>
        </w:r>
      </w:hyperlink>
      <w:hyperlink r:id="rId21" w:anchor="n108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виконання кошторисів бюджетних установ,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затвердженого постановою Кабінету Міні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ів України від 28 лютого 2002 року № 228.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Розрахунок надходжень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спец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іального фонду на 2022-2024 роки здійснюється з урахуванням фактичних надходжень у попередньому та поточному бюджетних періодах.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ІІІ. Порядок заповнення </w:t>
      </w:r>
      <w:hyperlink r:id="rId22" w:anchor="n261" w:history="1">
        <w:r w:rsidRPr="00B01D44">
          <w:rPr>
            <w:rFonts w:ascii="Times New Roman" w:eastAsia="Times New Roman" w:hAnsi="Times New Roman" w:cs="Times New Roman"/>
            <w:b/>
            <w:bCs/>
            <w:color w:val="0058A5"/>
            <w:sz w:val="28"/>
            <w:szCs w:val="28"/>
            <w:u w:val="single"/>
            <w:lang w:eastAsia="ru-RU"/>
          </w:rPr>
          <w:t>Форми</w:t>
        </w:r>
      </w:hyperlink>
      <w:hyperlink r:id="rId23" w:anchor="n261" w:history="1">
        <w:r w:rsidRPr="00B01D44">
          <w:rPr>
            <w:rFonts w:ascii="Times New Roman" w:eastAsia="Times New Roman" w:hAnsi="Times New Roman" w:cs="Times New Roman"/>
            <w:b/>
            <w:bCs/>
            <w:color w:val="0058A5"/>
            <w:sz w:val="28"/>
            <w:szCs w:val="28"/>
            <w:u w:val="single"/>
            <w:lang w:eastAsia="ru-RU"/>
          </w:rPr>
          <w:t>–</w:t>
        </w:r>
      </w:hyperlink>
      <w:hyperlink r:id="rId24" w:anchor="n261" w:history="1">
        <w:r w:rsidRPr="00B01D44">
          <w:rPr>
            <w:rFonts w:ascii="Times New Roman" w:eastAsia="Times New Roman" w:hAnsi="Times New Roman" w:cs="Times New Roman"/>
            <w:b/>
            <w:bCs/>
            <w:color w:val="0058A5"/>
            <w:sz w:val="28"/>
            <w:szCs w:val="28"/>
            <w:u w:val="single"/>
            <w:lang w:eastAsia="ru-RU"/>
          </w:rPr>
          <w:t>1</w:t>
        </w:r>
      </w:hyperlink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3.1. Форма-1 призначена для наведення узагальнених показників діяльності головного розпорядника і розподілу граничного обсягу та прогнозних показникі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бюджетними програмами.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3.2. У Формі-1 зазначаються мета діяльності головного розпорядника кошті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бюджету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ТГ, цілі державної політики у відповідній сфері діяльності, формування та/або реалізацію яких забезпечує головний розпорядник, показники результату їх досягнення; здійснюється розподіл граничних показників видатків та надання кредиту із загального фонду бюджету ТГ за бюджетними програмами та відпові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дальними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виконавцями бюджетних програм.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Інформація, що наводиться у Формі-1, має у повній мі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 характеризувати діяльність головного розпорядника, охоплювати всі галузі (сфери діяльності), у яких він забезпечує реалізацію державної політики, висвітлювати найбільш суспільно значущі результати його діяльності та враховувати відповідні показники діяльності відповідальних виконавців, робота яких організовується та координується відповідним головним розпорядником.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3.3.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пункт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 1 зазначається найменування головного розпорядника, код відомчої класифікації видатків та кредитування </w:t>
      </w:r>
      <w:hyperlink r:id="rId25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бюджеті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ТГ, код за ЄДРПОУ та код бюджету ТГ.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3.4. У пункті 2 зазначається мета діяльності головного розпорядника, яка визначає основне його призначення і роль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відповідній галузі та має формуватися з урахуванням таких критеріїв: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ч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ітке формулювання та лаконічне викладення;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спрямованість на досягнення певного результату;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охоплення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вс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іх сфер діяльності головного розпорядника.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3.5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3 наводиться перелік цілей державної політики у відповідній сфері діяльності, формування та/або реалізацію яких забезпечує головний розпорядник, та зазначаються фактичні за попередній бюджетний період і очікувані у поточному, плановому та наступних за плановим двох бюджетних періодах показники результату діяльності головного розпорядника.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ілі визначаються головним розпорядником для кожної галузі (сфери діяльності) відповідно до пріоритетів державної політики, визначених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програмними (стратегічними) документами економічного і соціального розвитку.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Стратегічні цілі мають відповідати таким критеріям: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зв’язок з метою діяльності головного розпорядника;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оцінювання за допомогою показникі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результату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діяльності головного розпорядника.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Кількість стратегічних цілей для кожної галузі (сфери діяльності) головного розпорядника, як правило, не повинна перевищувати трьох.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Для кожної стратегічної цілі мають бути визначені показники результату діяльності головного розпорядника (далі – показники результату).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результату – це кількісні та якісні показники, які характеризують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івень досягнення головним розпорядником стратегічних цілей, дають можливість найбільш повно оцінити діяльність головного розпорядника та стан галузей (сфер його діяльності) у плановому та наступних за плановим двох бюджетних періодах.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Показники результату мають: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характеризувати прогрес у досягненні стратегічних цілей у середньостроковому періоді;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забезпечувати можливість відстеження досягнення стратегічних цілей у динаміці та порівнянності показникі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результату за роками;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перевірятися та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ідтверджуватися офіційною державною статистичною, фінансовою та іншою звітністю, даними бухгалтерського, статистичного та внутрішньогосподарського (управлінського) обліку.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При визначенні показників результату може використовуватися практичний досвід інших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країн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щодо визначення показників, які характеризують результати реалізації державної політики у відповідних галузях (сферах діяльності), що забезпечить можливість їх порівняння із показниками міжнародних рейтингів.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Кількість показників результату за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кожною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стратегічною ціллю, як правило, не повинна перевищувати трьох.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3.6. У пункті 4 зазначається розподіл граничних показників видатків та надання кредиту із загального фонду бюджету ТГ за бюджетними програмами та відпові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дальними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виконавцями бюджетних програм: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графах 1-2 зазначаються код Програмної класифікації та код Типової програмної класифікації видаткі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кредитування бюджету ТГ;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– у графі 3 код функціональної класифікації видаткі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кредитування бюджету ТГ;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4 найменування відповідального виконавця та найменування бюджетної програми;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5 (звіт) – касові видатки або надання кредитів загального фонду відповідно до звіту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6 (затверджено) – бюджетні асигнування загального фонду, затверджені розписом на поточний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графах 7-9 (проект, прогноз) – розподіл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граничного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обсягу та прогнозних показників.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При цьому, обсяги видатків/надання кредитів загального фонду бюджету ТГ, що склалися у рядку «УСЬОГО» у графах 7-9, не повинні перевищувати доведені головному розпоряднику граничних обсягів на плановий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ік та прогнозні показники видатків/надання кредитів загального фонду;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графі 10 – номер цілі, зазначеної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3 Форми-1, на досягнення якої спрямована реалізація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3.7. У пункті 5 зазначається розподіл граничних показників видатків та надання кредиту із спеціального фонду бюджету ТГ за бюджетними програмами та відпові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дальними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виконавцями бюджетних програм: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графах 1-2 зазначаються код Програмної класифікації та код Типової програмної класифікації видаткі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кредитування бюджету ТГ;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3 код функціональної класифікації видаткі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кредитування бюджету ТГ;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4 найменування відповідального виконавця та найменування бюджетної програми;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5 (звіт) – касові видатки або надання кредиті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спец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іального фонду відповідно до звіту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  у графі 6 (затверджено) – бюджетні асигнування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спец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іального фонду, затверджені розписом на поточний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у графах 7-9 (проект, прогноз) – розподіл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граничного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обсягу та прогнозних показників.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При цьому, обсяги видатків/надання кредитів спеціального фонду бюджету ТГ, що склалися у рядку «УСЬОГО» у графах 7-9, не повинні перевищувати доведені головному розпоряднику граничних обсягів на плановий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ік та прогнозні показники видатків/надання кредитів спеціального фонду;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– у графі 10 – номер цілі, зазначеної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3 Форми-1, на досягнення якої спрямована реалізація бюджетної програми.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ІV. Порядок заповнення </w:t>
      </w:r>
      <w:hyperlink r:id="rId26" w:anchor="n271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Форми</w:t>
        </w:r>
      </w:hyperlink>
      <w:hyperlink r:id="rId27" w:anchor="n271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–</w:t>
        </w:r>
      </w:hyperlink>
      <w:hyperlink r:id="rId28" w:anchor="n271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2</w:t>
        </w:r>
      </w:hyperlink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4.1. Форма-2 призначена для наведення детальної інформації з обґрунтуваннями щодо показників, передбачених за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кожною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бюджетною програмою за програмною класифікацією видатків та кредитування бюджету ТГ.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4.2. У пунктах 1 та 2 зазначаються відповідно код </w:t>
      </w:r>
      <w:hyperlink r:id="rId29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відомчої класифікації видатків та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кредитування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бюдже</w:t>
      </w:r>
      <w:hyperlink r:id="rId30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т</w:t>
        </w:r>
        <w:proofErr w:type="gramEnd"/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ТГ та найменування головного розпорядника, найменування та знак відповідального виконавця бюджетної програми, код за ЄДРПОУ.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4.3.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пункті 3 зазначаються найменування бюджетної програми, коди Програмної класифікації і Типової програмної класифікації видатків та кредитування місцевих бюджетів, функціональної класифікації видатків та кредитування бюджету, код бюджету.</w:t>
      </w:r>
      <w:proofErr w:type="gramEnd"/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4.4.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4 зазначаються мета та завдання бюджетної програми: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ідпункті 1 пункту 4 – мета бюджетної програми та строки її реалізації;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ідпункті 2 пункту 4 – завдання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ідпункті 3 пункту 4 – нормативно-правові акти, які є підставою для реалізації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Мета та завдання бюджетної програми визначаються відповідно до положень спільних наказів Міністерства фінансів України та галузевих міністерств.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Інформація, що наводиться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4 цієї форми, повинна узгоджуватися з інформацією, наведеною у пункті 2 Форми-1.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4.5.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5 зазначаються усі надходження для виконання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рядку «Надходження загального фонду бюджету» у графах 3, 7, 11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5 та у графах 3, 7 підпункту 2 пункту 5 автоматично проставляються показники, наведені у графах 5, 6, 7, 8, 9 пункту 4 Форми-1 у рядку «УСЬОГО» відповідної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спец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іального фонду зазначаються за кожним видом надходжень: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1) власні надходження бюджетних установ: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плата за послуги, що надаються бюджетними установами згідно з ї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х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основною діяльністю (код </w:t>
      </w:r>
      <w:hyperlink r:id="rId31" w:anchor="n6" w:tgtFrame="_blank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класифікації доходів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25010100);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надходження бюджетних установ від додаткової (господарської) діяльності (код </w:t>
      </w:r>
      <w:hyperlink r:id="rId32" w:anchor="n6" w:tgtFrame="_blank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класифікації доході</w:t>
        </w:r>
        <w:proofErr w:type="gramStart"/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в</w:t>
        </w:r>
        <w:proofErr w:type="gramEnd"/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 xml:space="preserve">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25010200);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плата за оренду майна бюджетних установ (код </w:t>
      </w:r>
      <w:hyperlink r:id="rId33" w:anchor="n6" w:tgtFrame="_blank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класифікації доході</w:t>
        </w:r>
        <w:proofErr w:type="gramStart"/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в</w:t>
        </w:r>
        <w:proofErr w:type="gramEnd"/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 xml:space="preserve">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25010300);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надходження бюджетних установ від реалізації в установленому порядку майна (крім нерухомого майна) (код </w:t>
      </w:r>
      <w:hyperlink r:id="rId34" w:anchor="n6" w:tgtFrame="_blank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класифікації доході</w:t>
        </w:r>
        <w:proofErr w:type="gramStart"/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в</w:t>
        </w:r>
        <w:proofErr w:type="gramEnd"/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 xml:space="preserve">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25010400);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благодійні внески, гранти та дарунки (код </w:t>
      </w:r>
      <w:hyperlink r:id="rId35" w:anchor="n6" w:tgtFrame="_blank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класифікації доході</w:t>
        </w:r>
        <w:proofErr w:type="gramStart"/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в</w:t>
        </w:r>
        <w:proofErr w:type="gramEnd"/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 xml:space="preserve">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25020100);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кошти, що отримують бюджетні установи від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ідприємств, організацій, фізичних осіб та від інших бюджетних установ для виконання цільових заходів (код </w:t>
      </w:r>
      <w:hyperlink r:id="rId36" w:anchor="n6" w:tgtFrame="_blank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класифікації доходів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25020200).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Власні надходження бюджетних установ визначаються головним розпорядником за наявності відповідної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ідстави. При заповненні цього пункту в частині власних надходжень слід керуватися частиною четвертою статті 13 </w:t>
      </w:r>
      <w:hyperlink r:id="rId37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Бюджетного кодексу України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2) інші надходження спеціального фонду (за видами надходжень), визначені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ішенням про бюджет ТГ на попередній та поточний бюджетні періоди і які передбачається отримувати у плановому та наступних за плановим двох бюджетних періодах;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3) повернення кредиті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бюджету ТГ, які відображаються зі знаком «-».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Загальний обсяг надходжень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спец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іального фонду за попередній бюджетний період (рядок «УСЬОГО») розраховується як сума усіх вищезазначених надходжень.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4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5 (звіт) зазначаються надходження спеціального фонду для виконання бюджетної програми відповідно до звіту за попередній бюджетний період.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8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5 (затверджено) – надходження спеціального фонду для виконання бюджетної програми, затвердженні розписом на поточний бюджетний період. 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12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5 (проєкт) – надходження спеціального фонду для виконання бюджетної програми на плановий бюджетний період.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4 та 8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5 (прогноз) – надходження спеціального фонду для виконання бюджетної програми на наступні за плановим два бюджетні періоди.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5, 9, 13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5 та графах 5, 9 підпункту 2 пункту 5 зазначаються показники надходжень спеціального фонду, що належать до бюджету розвитку.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4.6. У пункті 6 зазначаються видатки (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ідпункт 1 пункту 6) або надання кредитів (підпункт 2 пункту 6) на плановий бюджетний період та видатки (підпункт 3 пункту 6) або надання кредитів (підпункт 4 пункту 6) на наступні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за плановим два бюджетні періоди за економічною  </w:t>
      </w:r>
      <w:hyperlink r:id="rId38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бюджету ТГ або класифікацією кредитування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ТГ</w:t>
      </w:r>
      <w:hyperlink r:id="rId39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:</w:t>
        </w:r>
      </w:hyperlink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3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6 та графі 3 підпункту 2 пункту 6 (звіт) зазначаються касові видатки або надання кредитів загального фонду відповідно до звіту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4, 5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6 та графах 4, 5 підпункту 2 пункту 6 (звіт) – касові видатки або надання кредитів спеціального фонду (у т.ч. бюджету розвитку) відповідно до звіту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7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6 та графі 7 підпункту 2 пункту 6 (затверджено) – бюджетні асигнування загального фонду, затверджені розписом на поточний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8, 9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6 та графах 8, 9 підпункту 2 пункту 6 (затверджено) – бюджетні асигнування спеціального фонду (у т.ч. бюджету розвитку), затверджені розписом на поточний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11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6 та графі 11 підпункту 2 пункту 6 (проєкт) – видатки або надання кредитів загального фонду на плановий бюджетний період, розраховані відповідно до розділу ІІ цієї Інструкції;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12, 13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6 та графах 12, 13 підпункту 2 пункту 6 (проект) – видатки або надання кредитів спеціального фонду (у т.ч. бюджету розвитку), які передбачаються на плановий бюджетний період, розраховані відповідно до розділу ІІ цієї Інструкції;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3 та 7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3 пункту 6 та у графах 3 та 7 підпункту 4 пункту 6 (прогноз) – видатки або надання кредитів загального фонду на наступні за плановим два бюджетні періоди, розраховані відповідно до розділу ІІ цієї Інструкції;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4, 5 та 8, 9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3 пункту 6 та у графах 4, 5 та  8, 9 підпункту 4 пункту 6 (прогноз) – видатки або надання кредитів спеціального фонду (у т.ч. бюджет розвитку) на наступні за плановим два бюджетні періоди, розраховані відповідно до </w:t>
      </w:r>
      <w:hyperlink r:id="rId40" w:anchor="n59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розділу ІІ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цієї Інструкції.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по загальному фонду у графах 3, 7, 11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6 та рядку «УСЬОГО» у графах 3, 7, 11 підпункту 2 пункту 6 повинні дорівнювати показникам у графах 5, 6, 7 пункту 4 Форми-1 для відповідної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по загальному фонду у графах 3 та 7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3 пункту 6 та рядку «УСЬОГО» у графах 3 та 7 підпункту 4 пункту 6 повинні дорівнювати показникам у графах 8 і 9 пункту 4 Форми-1 для відповідної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по спеціальному фонду у графах 4, 8, 12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ідпункту 1 пункту 6 та рядку «УСЬОГО» у графах 4, 8, 12 підпункту 2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пункту 6 повинні дорівнювати показникам у графах 5, 6, 7 пункту 5 Форми-1 для відповідної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по спеціальному фонду у графах 4 та 8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3 пункту 6 та рядку «УСЬОГО» у графах 4 та 8 підпункту 4 пункту 6 повинні дорівнювати показникам у графах 8 та 9 пункту 5 Форми-1 для відповідної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4.7.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7 зазначаються напрями використання бюджетних коштів (видатки або надання кредитів) за загальним та спеціальним фондами, виконання яких забезпечує реалізацію бюджетної програми.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ідпункті 1 пункту 7 зазначаються напрями використання бюджетних коштів на 2020-2022 роки: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3 (звіт) – касові видатки або надання кредитів загального фонду відповідно до звіту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графах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4, 5 (звіт) – касові видатки або надання кредитів спеціального фонду (у т.ч. бюджету розвитку) відповідно до звіту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7 (затверджено) – бюджетні асигнування загального фонду на поточний бюджетний період, затверджені розписом на поточний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графах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8, 9 (затверджено) – бюджетні асигнування спеціального фонду (у т.ч. бюджету розвитку), затверджені розписом на поточний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11 (проект) – видатки або надання кредитів загального фонду на плановий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графах 12, 13 (проєкт) – видатки або надання кредиті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спеціального фонду (у т.ч. бюджету розвитку) на плановий бюджетний період.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у графах 3, 7, 11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7 Форми – 2 повинні дорівнювати показникам у графах 5, 6, 7 пункту 4 Форми-1 для відповідної бюджетної програми, показникам у рядку «УСЬОГО» у графах 3, 7, 11 сумарно по підпунктах 1 та 2 пункту 6 Форми-2.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у графах 4, 8, 12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ідпункту 1 пункту 7 Форми – 2 повинні дорівнювати показникам у графах 5, 6, 7 пункту 5 Форми-1 для відповідної бюджетної програми. Показники у рядку «УСЬОГО» у графах 4, 5; 8, 9; 12, 13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7 Форми – 2 повинні дорівнювати показникам у рядку «УСЬОГО» у графах 4, 5; 8, 9; 12, 13 сумарно по підпунктах 1 та 2 пункту 6 Форми-2.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ідпункті 2 пункту 7 – напрями використання бюджетних коштів на 2023-2024 роки: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графах 3 і 7 (прогноз) – видатки або надання кредитів загального фонду на наступні за плановим два бюджетні періоди;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графах 4, 5 і 8, 9 (прогноз) – видатки або надання кредитів спеціального фонду (у т.ч. бюджету розвитку) на наступні за плановим два бюджетні періоди.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у графах 3, 7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7 Форми – 2 повинні дорівнювати показникам у графах 8, 9 пункту 4 Форми-1 для відповідної бюджетної програми, показникам у рядку «УСЬОГО» у графах 3, 7 сумарно по підпунктах 3 та 4 пункту 6 Форми-2.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у графах 4, 8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ідпункту 2 пункту 7 Форми – 2 повинні дорівнювати показникам у графах 8, 9 пункту 5 Форми-1 для відповідної бюджетної програми. Показники у рядку «УСЬОГО» у графах 4, 5; 8, 9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7 Форми – 2 повинні дорівнювати показникам у рядку «УСЬОГО» у графах 4, 5; 8, 9 сумарно по підпунктах 3 та 4 пункту 6 Форми-2.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4.8.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 визначені напрямів використання бюджетних коштів та розподілі видатків за кодами </w:t>
      </w:r>
      <w:hyperlink r:id="rId41" w:anchor="n6" w:tgtFrame="_blank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економічної класифікації видатків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ТГ необхідно враховувати, що економічна класифікація видатків бюджету ТГ впорядковує витрати за економічними характеристиками операцій, а напрями використання бюджетних коштів передбачають конкретні дії (заходи), спрямовані на досягнення певного результату, і можуть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істити декілька таких операцій.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Погашення кредиторської заборгованості відображається як окремий напрям використання бюджетних кошті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Напрями використання бюджетних коштів за спеціальним фондом повинні узгоджуватися з напрямами використання бюджетних кошті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загальним фондом.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4.9.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8 наводяться результативні показники бюджетної програми за попередній, поточний, на плановий та наступні за плановим два бюджетні періоди.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Результативні показники бюджетної програми визначаються з дотриманням </w:t>
      </w:r>
      <w:hyperlink r:id="rId42" w:tgtFrame="_blank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Загальних вимог до визначення результативних показників бюджетної програми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затверджених наказом Міністерства фінансів України від 10 грудня 2010 року № 1536, зареєстрованих у Міністерстві юстиції України 27 грудня 2010 року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№ 1353/18648.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Кількість результативних показників за кожним напрямом, як правило, не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повинна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перевищувати чотирьох.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Для бюджетних програм, що реалізуються протягом декількох років, результативні показники бюджетної програми не повинні суттєво змінюватися за своїм змістом порівняно із результативними показниками, передбаченими паспортом відповідної бюджетної програми на поточний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ік, за умов: незмінності завдань бюджетної програми та напрямів використання коштів; узгодженості із цілями та показниками результату діяльності головного розпорядника, визначеними у Формі-1.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«Джерело інформації»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ідпунктів 1 та 2 пункту 8 зазначаються найменування статистичних збірників, звітності та обліку, що ведуться головним розпорядником, відповідальним виконавцем, отримувачем бюджетних коштів, інших видів джерел інформації, які підтверджують достовірність наведених результативних показників бюджетних програм.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4.10.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9 наводиться структура видатків на оплату праці за попередній, поточний, плановий та наступні за плановим два бюджетні періоди.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 останньому рядку пункту 9 додатково наводяться видатки на оплату праці штатних одиниць за загальним фондом, що враховані також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спеціальному фонді.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4.11.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10 наводиться чисельність працівників, зайнятих у бюджетних установах, в розрізі переліку категорій працівників згідно з штатним розписом та фактично зайнятими посадами: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графах 3, 5, 7, 9 зазначається кількість затверджених штатних одиниць у штатних розписах;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4, 6, 8, 10 – кількість фактично зайнятих штатних одиниць в попередньому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бюджетному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періоді, а в поточному бюджетному періоді – станом на вказану дату поточного бюджетного періоду;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графах 11-16 – чисельність працівників бюджетних установ на плановий та наступні за плановим два бюджетні періоди.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Кількість штатних одиниць та фактично зайнятих посад, які утримуються за рахунок видатків загального або спеціального фонді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наводиться окремо. У разі, якщо згідно з чинним законодавством працівники, що отримують основну заробітну плату за рахунок загального фонду, отримують додаткову заробітну плату зі спеціального фонду або працюють за сумісництвом в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ідрозділі, що утримується зі спеціального фонду, чисельність таких працівників проставляється і по загальному, і по спеціальному фондах, а також додатково в останньому рядку «штатні одиниці за загальним фондом, що враховані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спеціальному фонді», у графах 5, 6, 9, 10, 12, 14 та 16.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чисельності повинні узгоджуватися з відповідними показниками видатків 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ідпунктах 1 та 3 пункту 6 та пункті 9.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4.12. У пункті 11 наводяться регіональні/місцеві програми, які виконувалися в межах бюджетної програми у попередньому бюджетному періоді, виконуються у поточному і будуть виконуватися у плановому (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 1 пункту 11) та наступних за плановим двох бюджетних періодах (підпункт 2 пункту 11):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2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11 та графі 2 підпункту 2 пункту 11 зазначаються назви місцевих програм;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3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11 та графі 3 підпункту 2 пункту 11 – дата та назва нормативно-правового акта, яким затверджена місцева програма.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у графах 4, 5, 7, 8, 10, 11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11 не мають перевищувати показники у графах 3, 4, 7, 8, 11 і 12 підпункту 1 пункту 6 або у графах 3, 4, 7, 8, 11 і 12 підпункту 2 пункту 6.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 у рядку «УСЬОГО» у графах 4, 5, 7, 8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11 не мають перевищувати показники у графах 3, 4, 7, 8 підпункту 3 пункту 6 або у графах 3, 4, 7, 8 підпункту 4 пункту 6.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4.13.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12 наводиться перелік об’єктів, які виконуються в межах бюджетної програми за рахунок коштів бюджету розвитку.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цьому пункті відображається розподіл коштів бюджету розвитку щодо здійснення заходів на будівництво, реконструкцію і реставрацію об’єктів виробничої, комунікаційної та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соц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іальної інфраструктуриу розрізі таких об’єктів. А також зазначається основна інформація щодо об’єкта: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графі 1 – найменування об’єкта відповідно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проєктно-кошторисної документації;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2 – строк реалізації об’єкта (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ік початку і завершення);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– у графі 3 – загальна кошторисна вартість об’єкта;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графах 4, 6, 8, 10, 12 – обсяг коштів бюджету розвитку у розрізі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кожного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об’єкта, які виконуються в межах бюджетної програми; 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– у графах 5, 7, 9, 11, 13 –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івень будівельної готовності такого об’єкта на кінець бюджетного періоду (тобто готовність об’єкта будівництва до введення в експлуатацію за умови спрямування у бюджетному періоді коштів бюджету розвитку у обсязі, визначеному у бюджетному запиті).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4.14.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пункті 13 наводиться аналіз результатів, досягнутих внаслідок використання коштів загального фонду у попередньому бюджетному періоді, очікувані результати у поточному бюджетному періоді та обґрунтування необхідності передбачення видатків або надання кредитів на плановий та наступні за плановим два бюджетні періоди (інформації, наведеної у пунктах 8-10).</w:t>
      </w:r>
      <w:proofErr w:type="gramEnd"/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Приведені у пунктах 13 та 15 обґрунтування використовуються при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ідготовці проєкту та прогнозу бюджету ТГта пояснювальної записки до проєкту рішення про бюджет ТГ.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4.15. У пункті 14 наводиться аналіз управління бюджетними зобов’язаннями у звітному 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поточному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бюджетних періодах та пропозиції щодо приведення зобов’язань на плановий бюджетний період до граничного обсягу видатків або надання кредитів на плановий бюджетний період.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ідпунктах 1 та 2 пункту 14 зазначається кредиторська заборгованість за звітний бюджетний період, а також можлива кредиторська заборгованість на кінець поточного бюджетного періоду: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3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14 – затверджено розписом за звітний бюджетний період з урахуванням всіх внесених змін до розпису;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4 підпункту 1 пункту 14 – касові видатки або надання кредитів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ідповідно до звіту за попередній бюджетний період.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5 та 6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14 – кредиторська заборгованість на початок та кінець звітного бюджетного періоду відповідно до звіту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7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14 – зміна кредиторської заборгованості протягом попереднього бюджетного періоду;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8 та 9 підпункту 1 пункту 14 – кредиторська заборгованість, яка у попередньому бюджетному періоді погашена за рахунок коштів загального та спеціального фондів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ідповідно;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10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14 – бюджетні зобов’язання, у тому числі погашені (касові видатки) та непогашені (кредиторська заборгованість на кінець минулого бюджетного періоду).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5, 6, 10, 11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14 наводиться сума кредиторської заборгованості, яку в поточному та плановому бюджетних періодах планується погасити за рахунок коштів загального та спеціального фондів.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7 та 12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14 наводиться розрахунок очікуваних зобов’язань за видатками (різниця між затвердженими призначеннями на поточний бюджетний період (граничним обсягом на плановий бюджетний період) та погашенням за рахунок коштів загального фонду).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Наведена 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ідпунктах 1 та 2 пункту 14 інформація призначена для здійснення аналізу ефективності управління головним розпорядником своїми зобов’язаннями в попередньому, поточному та на плановий бюджетний період у розрізі економічної класифікації видатків бюджет ТГ (касові видатки, стан погашення кредиторської заборгованості, тенденцію щодо змін 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заборгованості по заробі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тній платі та заходи щодо приведення мережі і чисельності у відповідність до передбачених асигнувань), а також розробити заходи з приведення своїх зобов’язань на плановий бюджетний період у відповідність до обсягів видатків на плановий бюджетний період.</w:t>
      </w:r>
      <w:proofErr w:type="gramEnd"/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Графи 3, 4, 8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14 мають відповідати: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графа 3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14 – графі 7 підпункту 1 пункту 6 (бюджетні асигнування, затверджені розписом на поточний бюджетний період);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графа 4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14 – графі 6 підпункту 1 пункту 14 (кредиторська заборгованість загального фонду на кінець попереднього бюджетного періоду відповідно до звіту за попередній бюджетний період);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графа 8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14 – графі 11 підпункту 1 пункту 6 (видатки бюджету на плановий бюджетний період).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ідпункті 3 пункту 14 зазначається дебіторська заборгованість за попередній бюджетний період, а також очікувана дебіторська заборгованість на кінець поточного бюджетного періоду: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3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3 пункту 14 – бюджетні асигнування, затверджені розписом за попередній бюджетний період з урахуванням всіх внесених змін до розпису;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4 підпункту 3 пункту 14 – касові видатки або надання кредитів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ідповідно до звіту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5 та 6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3 пункту 14 – дебіторська заборгованість на початок та кінець попереднього бюджетного періоду відповідно до звіту за попередній бюджетний період;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7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3 пункту 14 – очікувана дебіторська заборгованість на кінець планового бюджетного періоду;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8 та 9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3 пункту 14 – причини виникнення дебіторської заборгованості та вжиті заходи щодо її погашення відповідно.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підпункті 4 пункту 14 зазначаються конкретні пропозиції до заходів з упорядкування зобов’язань у плановому бюджетному періоді із визначенням термінів їх проведення та розрахунками щодо результатів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 впровадження цих заходів, а також пояснення щодо управління зобов’язаннями у попередньому та поточному бюджетних періодах.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4.16.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пункті 15 наводяться: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основні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ідходи до розрахунку власних надходжень бюджетних установ на плановий та наступні за плановим два бюджетні періоди;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основні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ідходи до розрахунку інших надходжень спеціального фонду, включаючи кошти, що залучаються для реалізації інвестиційних програм (проектів) та від повернення кредитів до бюджету ТГ;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нормативно-правові акти з посиланням на конкретні статті (пункти), якими надано повноваження на отримання власних надходжень бюджетних установ та інших надходжень спеціального фонду, включаючи кошти, що залучаються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для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реалізації інвестиційних програм (проєктів) та від повернення кредитів до бюджету ТГ, та визначено напрями їх використання;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пояснення джерел утворення надходжень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спец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іального фонду та основні напрями їх використання;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аналіз результатів, досягнутих внаслідок використання кошті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спеціального фонду у попередньому бюджетному періоді, та очікувані результати у поточному бюджетному періоді;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показники, які характеризують обсяг видатків або надання кредитів спеціального фонду на плановий та наступні за плановим два бюджетні періоди (мережа, штати, контингенти, що обслуговуються спеціальними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ідрозділами бюджетних установ за рахунок власних надходжень тощо, – порівняно із звітом за попередній бюджетний період та планом на поточний бюджетний період).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4.17. Інформація, наведена у Формі-2, використовується для формування паспорта бюджетної програми відповідно до положень </w:t>
      </w:r>
      <w:hyperlink r:id="rId43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наказу Міністерства фінансів України від 26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hyperlink r:id="rId44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серпня 2014 року № 8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36 «Про деякі питання запровадження програмно-цільового методу складання та виконання місцевих бюджетів», зареєстрованого в Міністерстві юстиції України 10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вересня 2014 року за № 1103/25880.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V. Порядок заповнення </w:t>
      </w:r>
      <w:hyperlink r:id="rId45" w:anchor="n341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Форми</w:t>
        </w:r>
      </w:hyperlink>
      <w:hyperlink r:id="rId46" w:anchor="n341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–</w:t>
        </w:r>
      </w:hyperlink>
      <w:hyperlink r:id="rId47" w:anchor="n341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3</w:t>
        </w:r>
      </w:hyperlink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5.1. Форма-3 призначена для представлення та обґрунтування пропозицій щодо додаткових поточних та капітальних видатків та/або надання кредитів на плановий та наступні за плановим два бюджетні періоди і заповнюється лише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ісля заповнення Форми-1 та Форми-2 у разі якщо витрати, які розраховані, виходячи з пріоритетності та обґрунтованості потреб, перевищують граничний обсяг та індикативні прогнозні показники.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Пропозиції головних розпорядників щодо додаткових видаткі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та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надання кредитів розглядаються міським головою в межах балансу бюджету відповідно до пропозицій фінансового </w:t>
      </w:r>
      <w:r w:rsidR="00CF3FA6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відділу</w:t>
      </w: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Пропозиції головних розпорядників щодо додаткових видатків або надання кредитів не надаються за бюджетними програмами, за якими у зв’язку з перерозподілом зменшено обсяги видатків або надання кредиті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порівняно з поточним бюджетним періодом та збільшено за іншими бюджетними програмами.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5.2. У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пунктах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1 та 2 зазначаються відповідно код відомчої класифікації видатків та кредитування бюджетів ТГ та найменування головного розпорядника, найменування та знак відповідального виконавця бюджетної програми, код за ЄДРПОУ.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5.3.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пункті 3 зазначаються найменування бюджетної програми, коди Програмної класифікації і Типової програмної класифікації видатків та кредитування місцевих бюджетів, функціональної класифікації видатків та кредитування бюджету, код бюджету.</w:t>
      </w:r>
      <w:proofErr w:type="gramEnd"/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5.4.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пункті 4 наводяться додаткові кошти на поточні та капітальні видатки або надання кредитів та інформація про зміни результативних показників бюджетної програми у плановому та наступних за плановим двох бюджетних періодах у разі передбачення додаткових коштів, а також можливі наслідки, у разі якщо додаткові кошти не будуть передбачені, та альтернативні заходи, яких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необхідно вжити для забезпечення виконання бюджетної програми.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першій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4 зазначаються додаткові видатки або надання кредитів на плановий бюджетний період (у розрізі кодів </w:t>
      </w:r>
      <w:hyperlink r:id="rId48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або </w:t>
      </w:r>
      <w:hyperlink r:id="rId49" w:anchor="n6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класифікації кредитування бюджету)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7 першої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4 наводяться обґрунтування необхідності та розрахунки додаткових видатків або надання кредитів на плановий бюджетний період, а також надається інформація про вжиті головним розпорядником заходи щодо економії бюджетних коштів.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2, 3, 4 другої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4 зазначаються найменування результативних показників бюджетної програми (показників затрат, продукту, ефективності та якості), їх одиниці виміру та відповідне джерело інформації, які мають відповідати графам 2, 3, 4 підпункту 1 пункту 8 Форми-2.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5 другої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4 зазначаються результативні показники, які передбачається досягти у плановому бюджетному періоді в межах граничного обсягу.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6 другої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4 зазначаються зміни (збільшення/зменшення) зазначених результативних показників у разі передбачення додаткових коштів у плановому бюджетному періоді.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другій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1 пункту 4 також необхідно зазначити про наслідки, які настають у разі, якщо додаткові кошти не будуть передбачені у плановому році, та альтернативні заходи, яких варто вжити для забезпечення виконання бюджетної програми.</w:t>
      </w:r>
    </w:p>
    <w:p w:rsidR="00472AA1" w:rsidRPr="00B01D44" w:rsidRDefault="00472AA1" w:rsidP="00B01D4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першій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4 зазначаються додаткові видатки або надання кредитів на наступні за плановим два бюджетні періоди (у розрізі </w:t>
      </w:r>
      <w:hyperlink r:id="rId50" w:history="1">
        <w:r w:rsidRPr="00B01D44">
          <w:rPr>
            <w:rFonts w:ascii="Times New Roman" w:eastAsia="Times New Roman" w:hAnsi="Times New Roman" w:cs="Times New Roman"/>
            <w:color w:val="0058A5"/>
            <w:sz w:val="28"/>
            <w:szCs w:val="28"/>
            <w:u w:val="single"/>
            <w:lang w:eastAsia="ru-RU"/>
          </w:rPr>
          <w:t>видатків бюджету</w:t>
        </w:r>
      </w:hyperlink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ТГ або класифікації кредитування бюджету ТГ).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У графах 3 та 5 першої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4 проставляються індикативні прогнозні показники на наступні за плановим два бюджетні періоди.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4 та 6 першої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4 зазначається сума збільшення індикативних прогнозних показників.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графі 7 першої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4 наводяться обґрунтування необхідності та розрахунки додаткових видатків загального фонду на наступні за плановим два бюджетні періоди.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2, 3, 4 другої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4 зазначаються найменування результативних показників бюджетної програми (показників затрат, продукту, ефективності та якості), що характеризують виконання бюджетної програми у наступних за плановим двох бюджетних періодах, їх одиниці виміру та відповідне джерело інформації, які мають відповідати графам 2, 3, 4 підпункту 2 пункту 8 Форми-2.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5 та 7 другої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4 зазначаються результативні показники, які передбачається досягти у наступних за плановим двох бюджетних періодах в межах індикативних прогнозних показників на відповідний бюджетний період.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графах 6 та 8 другої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4 зазначаються зміни (збільшення/зменшення) зазначених результативних показників у разі виділення додаткових видатків або надання кредитів у відповідних бюджетних періодах.</w:t>
      </w:r>
    </w:p>
    <w:p w:rsidR="00472AA1" w:rsidRPr="00B01D44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 другій таблиці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ідпункту 2 пункту 4 також необхідно зазначити про наслідки, які настають у разі, якщо додаткові кошти не будуть передбачені потягом двох наступних за плановим роком бюджетних періодів, та альтернативні заходи, яких варто вжити для забезпечення виконання бюджетної програми. </w:t>
      </w:r>
    </w:p>
    <w:p w:rsidR="00472AA1" w:rsidRDefault="00472AA1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 останньому рядку «УСЬОГО» </w:t>
      </w:r>
      <w:proofErr w:type="gramStart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</w:t>
      </w:r>
      <w:proofErr w:type="gramEnd"/>
      <w:r w:rsidRPr="00B01D4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ідпунктів 1 та 2 пункту 4 зазначається загальна сума додаткових коштів по відповідній бюджетній програмі.</w:t>
      </w:r>
    </w:p>
    <w:p w:rsidR="00CF3FA6" w:rsidRDefault="00CF3FA6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</w:p>
    <w:p w:rsidR="00CF3FA6" w:rsidRPr="00CF3FA6" w:rsidRDefault="00CF3FA6" w:rsidP="00B01D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Завідувач бюджетного сектору                                        Алла КОБЕЦЬ</w:t>
      </w:r>
    </w:p>
    <w:p w:rsidR="006229AB" w:rsidRPr="00B01D44" w:rsidRDefault="006229AB" w:rsidP="00B01D4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229AB" w:rsidRPr="00B01D44" w:rsidSect="00CF3FA6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984" w:rsidRDefault="00575984" w:rsidP="00CF3FA6">
      <w:pPr>
        <w:spacing w:after="0" w:line="240" w:lineRule="auto"/>
      </w:pPr>
      <w:r>
        <w:separator/>
      </w:r>
    </w:p>
  </w:endnote>
  <w:endnote w:type="continuationSeparator" w:id="0">
    <w:p w:rsidR="00575984" w:rsidRDefault="00575984" w:rsidP="00CF3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FA6" w:rsidRDefault="00CF3FA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30016"/>
      <w:docPartObj>
        <w:docPartGallery w:val="Page Numbers (Bottom of Page)"/>
        <w:docPartUnique/>
      </w:docPartObj>
    </w:sdtPr>
    <w:sdtContent>
      <w:p w:rsidR="00CF3FA6" w:rsidRDefault="00C623EA">
        <w:pPr>
          <w:pStyle w:val="a9"/>
        </w:pPr>
        <w:fldSimple w:instr=" PAGE   \* MERGEFORMAT ">
          <w:r w:rsidR="002F4D1B">
            <w:rPr>
              <w:noProof/>
            </w:rPr>
            <w:t>1</w:t>
          </w:r>
        </w:fldSimple>
      </w:p>
    </w:sdtContent>
  </w:sdt>
  <w:p w:rsidR="00CF3FA6" w:rsidRDefault="00CF3FA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FA6" w:rsidRDefault="00CF3FA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984" w:rsidRDefault="00575984" w:rsidP="00CF3FA6">
      <w:pPr>
        <w:spacing w:after="0" w:line="240" w:lineRule="auto"/>
      </w:pPr>
      <w:r>
        <w:separator/>
      </w:r>
    </w:p>
  </w:footnote>
  <w:footnote w:type="continuationSeparator" w:id="0">
    <w:p w:rsidR="00575984" w:rsidRDefault="00575984" w:rsidP="00CF3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FA6" w:rsidRDefault="00CF3FA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FA6" w:rsidRDefault="00CF3FA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FA6" w:rsidRDefault="00CF3F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7038F"/>
    <w:multiLevelType w:val="multilevel"/>
    <w:tmpl w:val="5BFE7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D829EA"/>
    <w:multiLevelType w:val="multilevel"/>
    <w:tmpl w:val="52BC8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E849F7"/>
    <w:multiLevelType w:val="multilevel"/>
    <w:tmpl w:val="7778C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F3047D"/>
    <w:multiLevelType w:val="multilevel"/>
    <w:tmpl w:val="A7F60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0F7F0B"/>
    <w:multiLevelType w:val="multilevel"/>
    <w:tmpl w:val="3ECEF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AA1"/>
    <w:rsid w:val="0025722F"/>
    <w:rsid w:val="002F4D1B"/>
    <w:rsid w:val="003971EE"/>
    <w:rsid w:val="003A79CE"/>
    <w:rsid w:val="00472AA1"/>
    <w:rsid w:val="00575984"/>
    <w:rsid w:val="006229AB"/>
    <w:rsid w:val="006566AF"/>
    <w:rsid w:val="007D1544"/>
    <w:rsid w:val="00986F6A"/>
    <w:rsid w:val="009B71CA"/>
    <w:rsid w:val="009C6691"/>
    <w:rsid w:val="00A33730"/>
    <w:rsid w:val="00A444A8"/>
    <w:rsid w:val="00B01D44"/>
    <w:rsid w:val="00B55EDA"/>
    <w:rsid w:val="00C623EA"/>
    <w:rsid w:val="00CF3FA6"/>
    <w:rsid w:val="00DC7237"/>
    <w:rsid w:val="00E9390F"/>
    <w:rsid w:val="00EC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AB"/>
  </w:style>
  <w:style w:type="paragraph" w:styleId="2">
    <w:name w:val="heading 2"/>
    <w:basedOn w:val="a"/>
    <w:link w:val="20"/>
    <w:uiPriority w:val="9"/>
    <w:qFormat/>
    <w:rsid w:val="00472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2A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7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2AA1"/>
    <w:rPr>
      <w:b/>
      <w:bCs/>
    </w:rPr>
  </w:style>
  <w:style w:type="character" w:styleId="a5">
    <w:name w:val="Emphasis"/>
    <w:basedOn w:val="a0"/>
    <w:uiPriority w:val="20"/>
    <w:qFormat/>
    <w:rsid w:val="00472AA1"/>
    <w:rPr>
      <w:i/>
      <w:iCs/>
    </w:rPr>
  </w:style>
  <w:style w:type="character" w:styleId="a6">
    <w:name w:val="Hyperlink"/>
    <w:basedOn w:val="a0"/>
    <w:uiPriority w:val="99"/>
    <w:semiHidden/>
    <w:unhideWhenUsed/>
    <w:rsid w:val="00472AA1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CF3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F3FA6"/>
  </w:style>
  <w:style w:type="paragraph" w:styleId="a9">
    <w:name w:val="footer"/>
    <w:basedOn w:val="a"/>
    <w:link w:val="aa"/>
    <w:uiPriority w:val="99"/>
    <w:unhideWhenUsed/>
    <w:rsid w:val="00CF3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3F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4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2.rada.gov.ua/laws/show/z1057-12" TargetMode="External"/><Relationship Id="rId18" Type="http://schemas.openxmlformats.org/officeDocument/2006/relationships/hyperlink" Target="http://zakon2.rada.gov.ua/laws/show/v0011201-11/paran6" TargetMode="External"/><Relationship Id="rId26" Type="http://schemas.openxmlformats.org/officeDocument/2006/relationships/hyperlink" Target="http://zakon2.rada.gov.ua/laws/show/z1057-12/paran271" TargetMode="External"/><Relationship Id="rId39" Type="http://schemas.openxmlformats.org/officeDocument/2006/relationships/hyperlink" Target="http://zakon2.rada.gov.ua/laws/show/v0011201-11/paran6" TargetMode="External"/><Relationship Id="rId21" Type="http://schemas.openxmlformats.org/officeDocument/2006/relationships/hyperlink" Target="http://zakon2.rada.gov.ua/laws/show/228-2002-%D0%BF/paran108" TargetMode="External"/><Relationship Id="rId34" Type="http://schemas.openxmlformats.org/officeDocument/2006/relationships/hyperlink" Target="http://zakon.rada.gov.ua/laws/show/ru/v0011201-11" TargetMode="External"/><Relationship Id="rId42" Type="http://schemas.openxmlformats.org/officeDocument/2006/relationships/hyperlink" Target="http://zakon.rada.gov.ua/laws/show/ru/z1353-10" TargetMode="External"/><Relationship Id="rId47" Type="http://schemas.openxmlformats.org/officeDocument/2006/relationships/hyperlink" Target="http://zakon2.rada.gov.ua/laws/show/z1057-12/paran341" TargetMode="External"/><Relationship Id="rId50" Type="http://schemas.openxmlformats.org/officeDocument/2006/relationships/hyperlink" Target="http://zakon2.rada.gov.ua/laws/show/v0011201-11" TargetMode="External"/><Relationship Id="rId55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zakon2.rada.gov.ua/laws/show/v0011201-11/paran6" TargetMode="External"/><Relationship Id="rId17" Type="http://schemas.openxmlformats.org/officeDocument/2006/relationships/hyperlink" Target="http://zakon2.rada.gov.ua/laws/show/v0011201-11/paran6" TargetMode="External"/><Relationship Id="rId25" Type="http://schemas.openxmlformats.org/officeDocument/2006/relationships/hyperlink" Target="http://zakon2.rada.gov.ua/laws/show/v0011201-11" TargetMode="External"/><Relationship Id="rId33" Type="http://schemas.openxmlformats.org/officeDocument/2006/relationships/hyperlink" Target="http://zakon.rada.gov.ua/laws/show/ru/v0011201-11" TargetMode="External"/><Relationship Id="rId38" Type="http://schemas.openxmlformats.org/officeDocument/2006/relationships/hyperlink" Target="http://zakon2.rada.gov.ua/laws/show/v0011201-11/paran6" TargetMode="External"/><Relationship Id="rId46" Type="http://schemas.openxmlformats.org/officeDocument/2006/relationships/hyperlink" Target="http://zakon2.rada.gov.ua/laws/show/z1057-12/paran34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2.rada.gov.ua/laws/show/v0011201-11" TargetMode="External"/><Relationship Id="rId20" Type="http://schemas.openxmlformats.org/officeDocument/2006/relationships/hyperlink" Target="http://zakon2.rada.gov.ua/laws/show/228-2002-%D0%BF/paran108" TargetMode="External"/><Relationship Id="rId29" Type="http://schemas.openxmlformats.org/officeDocument/2006/relationships/hyperlink" Target="http://zakon2.rada.gov.ua/laws/show/v0011201-11/paran6" TargetMode="External"/><Relationship Id="rId41" Type="http://schemas.openxmlformats.org/officeDocument/2006/relationships/hyperlink" Target="http://zakon.rada.gov.ua/laws/show/ru/v0011201-11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2.rada.gov.ua/laws/show/v0011201-11/paran6" TargetMode="External"/><Relationship Id="rId24" Type="http://schemas.openxmlformats.org/officeDocument/2006/relationships/hyperlink" Target="http://zakon2.rada.gov.ua/laws/show/z1057-12/paran261" TargetMode="External"/><Relationship Id="rId32" Type="http://schemas.openxmlformats.org/officeDocument/2006/relationships/hyperlink" Target="http://zakon.rada.gov.ua/laws/show/ru/v0011201-11" TargetMode="External"/><Relationship Id="rId37" Type="http://schemas.openxmlformats.org/officeDocument/2006/relationships/hyperlink" Target="http://zakon2.rada.gov.ua/laws/show/2456-17" TargetMode="External"/><Relationship Id="rId40" Type="http://schemas.openxmlformats.org/officeDocument/2006/relationships/hyperlink" Target="http://zakon2.rada.gov.ua/laws/show/z1057-12" TargetMode="External"/><Relationship Id="rId45" Type="http://schemas.openxmlformats.org/officeDocument/2006/relationships/hyperlink" Target="http://zakon2.rada.gov.ua/laws/show/z1057-12/paran341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akon2.rada.gov.ua/laws/show/1298-2002-%D0%BF/paran79" TargetMode="External"/><Relationship Id="rId23" Type="http://schemas.openxmlformats.org/officeDocument/2006/relationships/hyperlink" Target="http://zakon2.rada.gov.ua/laws/show/z1057-12/paran261" TargetMode="External"/><Relationship Id="rId28" Type="http://schemas.openxmlformats.org/officeDocument/2006/relationships/hyperlink" Target="http://zakon2.rada.gov.ua/laws/show/z1057-12/paran271" TargetMode="External"/><Relationship Id="rId36" Type="http://schemas.openxmlformats.org/officeDocument/2006/relationships/hyperlink" Target="http://zakon.rada.gov.ua/laws/show/ru/v0011201-11" TargetMode="External"/><Relationship Id="rId49" Type="http://schemas.openxmlformats.org/officeDocument/2006/relationships/hyperlink" Target="http://zakon2.rada.gov.ua/laws/show/v0011201-11/paran6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zakon2.rada.gov.ua/laws/show/v0011201-11/paran6" TargetMode="External"/><Relationship Id="rId19" Type="http://schemas.openxmlformats.org/officeDocument/2006/relationships/hyperlink" Target="http://zakon2.rada.gov.ua/laws/show/v0011201-11/paran6" TargetMode="External"/><Relationship Id="rId31" Type="http://schemas.openxmlformats.org/officeDocument/2006/relationships/hyperlink" Target="http://zakon.rada.gov.ua/laws/show/ru/v0011201-11" TargetMode="External"/><Relationship Id="rId44" Type="http://schemas.openxmlformats.org/officeDocument/2006/relationships/hyperlink" Target="http://zakon2.rada.gov.ua/laws/show/z0047-03" TargetMode="External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v0011201-11" TargetMode="External"/><Relationship Id="rId14" Type="http://schemas.openxmlformats.org/officeDocument/2006/relationships/hyperlink" Target="http://zakon2.rada.gov.ua/laws/show/2456-17" TargetMode="External"/><Relationship Id="rId22" Type="http://schemas.openxmlformats.org/officeDocument/2006/relationships/hyperlink" Target="http://zakon2.rada.gov.ua/laws/show/z1057-12/paran261" TargetMode="External"/><Relationship Id="rId27" Type="http://schemas.openxmlformats.org/officeDocument/2006/relationships/hyperlink" Target="http://zakon2.rada.gov.ua/laws/show/z1057-12/paran271" TargetMode="External"/><Relationship Id="rId30" Type="http://schemas.openxmlformats.org/officeDocument/2006/relationships/hyperlink" Target="http://zakon2.rada.gov.ua/laws/show/v0011201-11/paran6" TargetMode="External"/><Relationship Id="rId35" Type="http://schemas.openxmlformats.org/officeDocument/2006/relationships/hyperlink" Target="http://zakon.rada.gov.ua/laws/show/ru/v0011201-11" TargetMode="External"/><Relationship Id="rId43" Type="http://schemas.openxmlformats.org/officeDocument/2006/relationships/hyperlink" Target="http://zakon2.rada.gov.ua/laws/show/z0047-03" TargetMode="External"/><Relationship Id="rId48" Type="http://schemas.openxmlformats.org/officeDocument/2006/relationships/hyperlink" Target="http://zakon2.rada.gov.ua/laws/show/v0011201-11/paran6" TargetMode="External"/><Relationship Id="rId56" Type="http://schemas.openxmlformats.org/officeDocument/2006/relationships/footer" Target="footer3.xml"/><Relationship Id="rId8" Type="http://schemas.openxmlformats.org/officeDocument/2006/relationships/hyperlink" Target="http://zakon2.rada.gov.ua/laws/show/1298-2002-%D0%BF/paran79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D2359-75D5-4641-ADF1-C5056BC0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7525</Words>
  <Characters>42896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11</cp:revision>
  <dcterms:created xsi:type="dcterms:W3CDTF">2021-09-09T11:58:00Z</dcterms:created>
  <dcterms:modified xsi:type="dcterms:W3CDTF">2021-09-13T11:34:00Z</dcterms:modified>
</cp:coreProperties>
</file>