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40"/>
        <w:gridCol w:w="1100"/>
        <w:gridCol w:w="1440"/>
        <w:gridCol w:w="320"/>
        <w:gridCol w:w="780"/>
        <w:gridCol w:w="1020"/>
        <w:gridCol w:w="80"/>
        <w:gridCol w:w="1100"/>
        <w:gridCol w:w="1100"/>
        <w:gridCol w:w="1100"/>
        <w:gridCol w:w="1100"/>
        <w:gridCol w:w="1100"/>
        <w:gridCol w:w="400"/>
        <w:gridCol w:w="700"/>
        <w:gridCol w:w="1100"/>
        <w:gridCol w:w="400"/>
      </w:tblGrid>
      <w:tr w:rsidR="00AA508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56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AA5083" w:rsidRDefault="00AA5083">
            <w:pPr>
              <w:pStyle w:val="EMPTYCELLSTYLE"/>
            </w:pPr>
          </w:p>
        </w:tc>
        <w:tc>
          <w:tcPr>
            <w:tcW w:w="32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8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02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8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56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AA5083" w:rsidRDefault="00AA5083">
            <w:pPr>
              <w:pStyle w:val="EMPTYCELLSTYLE"/>
            </w:pPr>
          </w:p>
        </w:tc>
        <w:tc>
          <w:tcPr>
            <w:tcW w:w="32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8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02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8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56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AA5083" w:rsidRDefault="00AA5083">
            <w:pPr>
              <w:pStyle w:val="EMPTYCELLSTYLE"/>
            </w:pPr>
          </w:p>
        </w:tc>
        <w:tc>
          <w:tcPr>
            <w:tcW w:w="32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8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02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8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5083" w:rsidRDefault="008C405A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2021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rPr>
                <w:b/>
              </w:rPr>
              <w:t>1010160</w:t>
            </w:r>
          </w:p>
        </w:tc>
        <w:tc>
          <w:tcPr>
            <w:tcW w:w="3200" w:type="dxa"/>
            <w:gridSpan w:val="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t>0160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t xml:space="preserve">  0111 </w:t>
            </w:r>
          </w:p>
        </w:tc>
        <w:tc>
          <w:tcPr>
            <w:tcW w:w="5980" w:type="dxa"/>
            <w:gridSpan w:val="7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left="60"/>
              <w:jc w:val="both"/>
            </w:pPr>
            <w:proofErr w:type="spellStart"/>
            <w:r>
              <w:t>Керівництво</w:t>
            </w:r>
            <w:proofErr w:type="spellEnd"/>
            <w:r>
              <w:t xml:space="preserve"> і </w:t>
            </w:r>
            <w:proofErr w:type="spellStart"/>
            <w:r>
              <w:t>управління</w:t>
            </w:r>
            <w:proofErr w:type="spellEnd"/>
            <w:r>
              <w:t xml:space="preserve"> у </w:t>
            </w:r>
            <w:proofErr w:type="spellStart"/>
            <w:r>
              <w:t>відповідній</w:t>
            </w:r>
            <w:proofErr w:type="spellEnd"/>
            <w:r>
              <w:t xml:space="preserve"> </w:t>
            </w:r>
            <w:proofErr w:type="spellStart"/>
            <w:r>
              <w:t>сфері</w:t>
            </w:r>
            <w:proofErr w:type="spellEnd"/>
            <w:r>
              <w:t xml:space="preserve"> у </w:t>
            </w:r>
            <w:proofErr w:type="spellStart"/>
            <w:r>
              <w:t>містах</w:t>
            </w:r>
            <w:proofErr w:type="spellEnd"/>
            <w:r>
              <w:t xml:space="preserve"> (</w:t>
            </w:r>
            <w:proofErr w:type="spellStart"/>
            <w:r>
              <w:t>мі</w:t>
            </w:r>
            <w:proofErr w:type="gramStart"/>
            <w:r>
              <w:t>ст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Києві</w:t>
            </w:r>
            <w:proofErr w:type="spellEnd"/>
            <w:r>
              <w:t xml:space="preserve">), селищах, селах, </w:t>
            </w:r>
            <w:proofErr w:type="spellStart"/>
            <w:r>
              <w:t>територіальних</w:t>
            </w:r>
            <w:proofErr w:type="spellEnd"/>
            <w:r>
              <w:t xml:space="preserve"> громадах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32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598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</w:t>
            </w:r>
            <w:r>
              <w:rPr>
                <w:sz w:val="14"/>
              </w:rPr>
              <w:t>ідно</w:t>
            </w:r>
            <w:proofErr w:type="spellEnd"/>
            <w:r>
              <w:rPr>
                <w:sz w:val="14"/>
              </w:rPr>
              <w:t xml:space="preserve">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організацію</w:t>
            </w:r>
            <w:proofErr w:type="spellEnd"/>
            <w:r>
              <w:t xml:space="preserve"> </w:t>
            </w:r>
            <w:proofErr w:type="gramStart"/>
            <w:r>
              <w:t>культурного</w:t>
            </w:r>
            <w:proofErr w:type="gram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і </w:t>
            </w:r>
            <w:proofErr w:type="spellStart"/>
            <w:r>
              <w:t>змінювати</w:t>
            </w:r>
            <w:proofErr w:type="spellEnd"/>
            <w:r>
              <w:t xml:space="preserve"> </w:t>
            </w:r>
            <w:proofErr w:type="spellStart"/>
            <w:r>
              <w:t>культурні</w:t>
            </w:r>
            <w:proofErr w:type="spellEnd"/>
            <w:r>
              <w:t xml:space="preserve"> </w:t>
            </w:r>
            <w:proofErr w:type="spellStart"/>
            <w:r>
              <w:t>традиції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roofErr w:type="spellStart"/>
            <w:r>
              <w:t>Керівництво</w:t>
            </w:r>
            <w:proofErr w:type="spellEnd"/>
            <w:r>
              <w:t xml:space="preserve"> і </w:t>
            </w:r>
            <w:proofErr w:type="spellStart"/>
            <w:r>
              <w:t>управління</w:t>
            </w:r>
            <w:proofErr w:type="spellEnd"/>
            <w:r>
              <w:t xml:space="preserve"> у </w:t>
            </w:r>
            <w:proofErr w:type="spellStart"/>
            <w:r>
              <w:t>відповідній</w:t>
            </w:r>
            <w:proofErr w:type="spellEnd"/>
            <w:r>
              <w:t xml:space="preserve"> </w:t>
            </w:r>
            <w:proofErr w:type="spellStart"/>
            <w:r>
              <w:t>сфері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56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AA5083" w:rsidRDefault="00AA5083">
            <w:pPr>
              <w:pStyle w:val="EMPTYCELLSTYLE"/>
            </w:pPr>
          </w:p>
        </w:tc>
        <w:tc>
          <w:tcPr>
            <w:tcW w:w="32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8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02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8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організацію</w:t>
            </w:r>
            <w:proofErr w:type="spellEnd"/>
            <w:r>
              <w:t xml:space="preserve"> </w:t>
            </w:r>
            <w:proofErr w:type="gramStart"/>
            <w:r>
              <w:t>культурного</w:t>
            </w:r>
            <w:proofErr w:type="gram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і </w:t>
            </w:r>
            <w:proofErr w:type="spellStart"/>
            <w:r>
              <w:t>зміцнення</w:t>
            </w:r>
            <w:proofErr w:type="spellEnd"/>
            <w:r>
              <w:t xml:space="preserve"> </w:t>
            </w:r>
            <w:proofErr w:type="spellStart"/>
            <w:r>
              <w:t>культурних</w:t>
            </w:r>
            <w:proofErr w:type="spellEnd"/>
            <w:r>
              <w:t xml:space="preserve"> </w:t>
            </w:r>
            <w:proofErr w:type="spellStart"/>
            <w:r>
              <w:t>традицій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56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AA5083" w:rsidRDefault="00AA5083">
            <w:pPr>
              <w:pStyle w:val="EMPTYCELLSTYLE"/>
            </w:pPr>
          </w:p>
        </w:tc>
        <w:tc>
          <w:tcPr>
            <w:tcW w:w="32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8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02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8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мистецтв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Машіської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  <w:sz w:val="16"/>
              </w:rPr>
              <w:t>ради</w:t>
            </w:r>
            <w:proofErr w:type="gram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291251,00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21300,00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312551,00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290975,95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21300,00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312275,95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-275,05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b/>
                <w:sz w:val="16"/>
              </w:rPr>
              <w:t>-275,05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касових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кредитів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бюджету)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напрямом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затверджених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паспорті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утворилися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 КЕКВ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: 2210 - 0,27тис.грн. канц.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залишок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зв'язку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</w:t>
            </w:r>
            <w:r>
              <w:rPr>
                <w:rFonts w:ascii="Arial" w:eastAsia="Arial" w:hAnsi="Arial" w:cs="Arial"/>
                <w:sz w:val="16"/>
              </w:rPr>
              <w:t>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момент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була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нижчою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було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заплановано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56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AA5083" w:rsidRDefault="00AA5083">
            <w:pPr>
              <w:pStyle w:val="EMPTYCELLSTYLE"/>
            </w:pPr>
          </w:p>
        </w:tc>
        <w:tc>
          <w:tcPr>
            <w:tcW w:w="32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8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02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8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A5083" w:rsidRDefault="00AA5083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44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b/>
                <w:sz w:val="16"/>
              </w:rPr>
              <w:t>291251,00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b/>
                <w:sz w:val="16"/>
              </w:rPr>
              <w:t>21300,00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b/>
                <w:sz w:val="16"/>
              </w:rPr>
              <w:t>312551,00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b/>
                <w:sz w:val="16"/>
              </w:rPr>
              <w:t>290975,95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b/>
                <w:sz w:val="16"/>
              </w:rPr>
              <w:t>21300,00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b/>
                <w:sz w:val="16"/>
              </w:rPr>
              <w:t>312275,95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b/>
                <w:sz w:val="16"/>
              </w:rPr>
              <w:t>-275,05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right="60"/>
              <w:jc w:val="right"/>
            </w:pPr>
            <w:r>
              <w:rPr>
                <w:b/>
                <w:sz w:val="16"/>
              </w:rPr>
              <w:t>-275,05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44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44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AA5083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AA508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AA508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AA508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AA508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AA508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AA5083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AA508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AA5083">
            <w:pPr>
              <w:ind w:right="60"/>
              <w:jc w:val="right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pStyle w:val="EMPTYCELLSTYLE"/>
            </w:pPr>
          </w:p>
        </w:tc>
        <w:tc>
          <w:tcPr>
            <w:tcW w:w="2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прийнятих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нормативно-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правових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акті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довідка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AA5083">
            <w:pPr>
              <w:jc w:val="center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однієї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.г</w:t>
            </w:r>
            <w:proofErr w:type="gramEnd"/>
            <w:r>
              <w:rPr>
                <w:rFonts w:ascii="Arial" w:eastAsia="Arial" w:hAnsi="Arial" w:cs="Arial"/>
                <w:sz w:val="14"/>
              </w:rPr>
              <w:t>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145,60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10,60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156,20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145,60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10,60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156,20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прийнятих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нормативно-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правових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акті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на одного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працівника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5083" w:rsidRDefault="008C405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внутрішній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контроль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083" w:rsidRDefault="008C405A">
            <w:r>
              <w:t xml:space="preserve">. </w:t>
            </w:r>
            <w:proofErr w:type="spellStart"/>
            <w:r>
              <w:t>Розбіжності</w:t>
            </w:r>
            <w:proofErr w:type="spellEnd"/>
            <w:r>
              <w:t xml:space="preserve"> </w:t>
            </w:r>
            <w:proofErr w:type="spellStart"/>
            <w:r>
              <w:t>між</w:t>
            </w:r>
            <w:proofErr w:type="spellEnd"/>
            <w:r>
              <w:t xml:space="preserve"> </w:t>
            </w:r>
            <w:proofErr w:type="spellStart"/>
            <w:r>
              <w:t>фактичними</w:t>
            </w:r>
            <w:proofErr w:type="spellEnd"/>
            <w:r>
              <w:t xml:space="preserve"> та </w:t>
            </w:r>
            <w:proofErr w:type="spellStart"/>
            <w:r>
              <w:t>затвердженими</w:t>
            </w:r>
            <w:proofErr w:type="spellEnd"/>
            <w:r>
              <w:t xml:space="preserve"> результатами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в</w:t>
            </w:r>
            <w:proofErr w:type="gramEnd"/>
            <w:r>
              <w:t>ідсутні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44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083" w:rsidRDefault="008C405A">
            <w:r>
              <w:t xml:space="preserve">У 2021 </w:t>
            </w:r>
            <w:proofErr w:type="spellStart"/>
            <w:r>
              <w:t>році</w:t>
            </w:r>
            <w:proofErr w:type="spellEnd"/>
            <w:r>
              <w:t xml:space="preserve"> </w:t>
            </w:r>
            <w:proofErr w:type="spellStart"/>
            <w:r>
              <w:t>видатки</w:t>
            </w:r>
            <w:proofErr w:type="spellEnd"/>
            <w:r>
              <w:t xml:space="preserve"> </w:t>
            </w:r>
            <w:proofErr w:type="spellStart"/>
            <w:r>
              <w:t>склали</w:t>
            </w:r>
            <w:proofErr w:type="spellEnd"/>
            <w:r>
              <w:t xml:space="preserve"> 312,28тис</w:t>
            </w:r>
            <w:proofErr w:type="gramStart"/>
            <w:r>
              <w:t>.г</w:t>
            </w:r>
            <w:proofErr w:type="gramEnd"/>
            <w:r>
              <w:t>рн .</w:t>
            </w:r>
            <w:proofErr w:type="spellStart"/>
            <w:r>
              <w:t>Видатки</w:t>
            </w:r>
            <w:proofErr w:type="spellEnd"/>
            <w:r>
              <w:t xml:space="preserve"> на оплату </w:t>
            </w:r>
            <w:proofErr w:type="spellStart"/>
            <w:r>
              <w:t>нарахувань</w:t>
            </w:r>
            <w:proofErr w:type="spellEnd"/>
            <w:r>
              <w:t xml:space="preserve"> </w:t>
            </w:r>
            <w:proofErr w:type="spellStart"/>
            <w:r>
              <w:t>звітного</w:t>
            </w:r>
            <w:proofErr w:type="spellEnd"/>
            <w:r>
              <w:t xml:space="preserve"> року </w:t>
            </w:r>
            <w:proofErr w:type="spellStart"/>
            <w:r>
              <w:t>склали</w:t>
            </w:r>
            <w:proofErr w:type="spellEnd"/>
            <w:r>
              <w:t xml:space="preserve"> 100%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загальних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нарахувань</w:t>
            </w:r>
            <w:proofErr w:type="spellEnd"/>
            <w:r>
              <w:t xml:space="preserve">. За </w:t>
            </w:r>
            <w:proofErr w:type="spellStart"/>
            <w:proofErr w:type="gramStart"/>
            <w:r>
              <w:t>п</w:t>
            </w:r>
            <w:proofErr w:type="gramEnd"/>
            <w:r>
              <w:t>ідсумками</w:t>
            </w:r>
            <w:proofErr w:type="spellEnd"/>
            <w:r>
              <w:t xml:space="preserve"> 2021 року</w:t>
            </w:r>
            <w:r>
              <w:br/>
            </w:r>
            <w:proofErr w:type="spellStart"/>
            <w:r>
              <w:t>основна</w:t>
            </w:r>
            <w:proofErr w:type="spellEnd"/>
            <w:r>
              <w:t xml:space="preserve"> мета та </w:t>
            </w:r>
            <w:proofErr w:type="spellStart"/>
            <w:r>
              <w:t>завдання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</w:t>
            </w:r>
            <w:r>
              <w:t>грами</w:t>
            </w:r>
            <w:proofErr w:type="spellEnd"/>
            <w:r>
              <w:t xml:space="preserve"> </w:t>
            </w:r>
            <w:proofErr w:type="spellStart"/>
            <w:r>
              <w:t>виконано</w:t>
            </w:r>
            <w:proofErr w:type="spellEnd"/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44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ind w:right="60"/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мистецтв</w:t>
            </w:r>
            <w:proofErr w:type="spellEnd"/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r>
              <w:t>Лариса НІКОЛЕНКО</w:t>
            </w: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44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бухгалтер</w:t>
            </w: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БЕЙДИК</w:t>
            </w: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  <w:tr w:rsidR="00AA5083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7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44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5083" w:rsidRDefault="008C405A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AA5083" w:rsidRDefault="00AA5083">
            <w:pPr>
              <w:pStyle w:val="EMPTYCELLSTYLE"/>
            </w:pPr>
          </w:p>
        </w:tc>
        <w:tc>
          <w:tcPr>
            <w:tcW w:w="400" w:type="dxa"/>
          </w:tcPr>
          <w:p w:rsidR="00AA5083" w:rsidRDefault="00AA5083">
            <w:pPr>
              <w:pStyle w:val="EMPTYCELLSTYLE"/>
            </w:pPr>
          </w:p>
        </w:tc>
      </w:tr>
    </w:tbl>
    <w:p w:rsidR="008C405A" w:rsidRDefault="008C405A"/>
    <w:sectPr w:rsidR="008C405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083"/>
    <w:rsid w:val="008C405A"/>
    <w:rsid w:val="00916904"/>
    <w:rsid w:val="00AA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2</cp:revision>
  <dcterms:created xsi:type="dcterms:W3CDTF">2022-01-21T10:59:00Z</dcterms:created>
  <dcterms:modified xsi:type="dcterms:W3CDTF">2022-01-21T10:59:00Z</dcterms:modified>
</cp:coreProperties>
</file>