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055" w:rsidRPr="00356591" w:rsidRDefault="00BD2EFE" w:rsidP="009E6055">
      <w:pPr>
        <w:widowControl w:val="0"/>
        <w:autoSpaceDE w:val="0"/>
        <w:autoSpaceDN w:val="0"/>
        <w:adjustRightInd w:val="0"/>
        <w:spacing w:before="240" w:after="60" w:line="240" w:lineRule="auto"/>
        <w:jc w:val="right"/>
        <w:outlineLvl w:val="8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 w:rsidRPr="00BD2EF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r w:rsidR="009E605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  <w:t xml:space="preserve">                                                                                                                                                         </w:t>
      </w:r>
      <w:r w:rsidR="009E6055" w:rsidRPr="0035659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 ЗАТВЕРДЖЕНО</w:t>
      </w:r>
    </w:p>
    <w:p w:rsidR="009E6055" w:rsidRPr="00356591" w:rsidRDefault="009E6055" w:rsidP="009E6055">
      <w:pPr>
        <w:widowControl w:val="0"/>
        <w:autoSpaceDE w:val="0"/>
        <w:autoSpaceDN w:val="0"/>
        <w:adjustRightInd w:val="0"/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565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Рішенням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другої позачергової</w:t>
      </w:r>
      <w:r w:rsidRPr="003565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сесії   </w:t>
      </w:r>
    </w:p>
    <w:p w:rsidR="009E6055" w:rsidRPr="00356591" w:rsidRDefault="009E6055" w:rsidP="009E6055">
      <w:pPr>
        <w:widowControl w:val="0"/>
        <w:autoSpaceDE w:val="0"/>
        <w:autoSpaceDN w:val="0"/>
        <w:adjustRightInd w:val="0"/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</w:t>
      </w:r>
      <w:r w:rsidRPr="003565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Мартинівської сільської ради</w:t>
      </w:r>
    </w:p>
    <w:p w:rsidR="009E6055" w:rsidRPr="00356591" w:rsidRDefault="009E6055" w:rsidP="009E6055">
      <w:pPr>
        <w:widowControl w:val="0"/>
        <w:autoSpaceDE w:val="0"/>
        <w:autoSpaceDN w:val="0"/>
        <w:adjustRightInd w:val="0"/>
        <w:spacing w:after="12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5659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восьмого скликання</w:t>
      </w:r>
    </w:p>
    <w:p w:rsidR="009E6055" w:rsidRPr="00356591" w:rsidRDefault="009E6055" w:rsidP="009E605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356591"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  <w:t xml:space="preserve">                                                                                                     24 січня 2020 року </w:t>
      </w:r>
    </w:p>
    <w:p w:rsidR="009E6055" w:rsidRPr="00356591" w:rsidRDefault="009E6055" w:rsidP="009E605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E6055" w:rsidRPr="00356591" w:rsidRDefault="009E6055" w:rsidP="009E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E6055" w:rsidRPr="00356591" w:rsidRDefault="009E6055" w:rsidP="009E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E6055" w:rsidRPr="00356591" w:rsidRDefault="009E6055" w:rsidP="009E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E6055" w:rsidRPr="00356591" w:rsidRDefault="009E6055" w:rsidP="009E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E6055" w:rsidRPr="00356591" w:rsidRDefault="009E6055" w:rsidP="009E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E6055" w:rsidRPr="00356591" w:rsidRDefault="009E6055" w:rsidP="009E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E6055" w:rsidRPr="00356591" w:rsidRDefault="009E6055" w:rsidP="009E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val="uk-UA" w:eastAsia="ru-RU"/>
        </w:rPr>
      </w:pPr>
      <w:r w:rsidRPr="00356591">
        <w:rPr>
          <w:rFonts w:ascii="Times New Roman" w:eastAsia="Times New Roman" w:hAnsi="Times New Roman" w:cs="Times New Roman"/>
          <w:b/>
          <w:sz w:val="48"/>
          <w:szCs w:val="48"/>
          <w:lang w:val="uk-UA" w:eastAsia="ru-RU"/>
        </w:rPr>
        <w:t>ПРОГРАМА</w:t>
      </w:r>
    </w:p>
    <w:p w:rsidR="009E6055" w:rsidRPr="009E6055" w:rsidRDefault="009E6055" w:rsidP="009E605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36"/>
          <w:szCs w:val="36"/>
          <w:lang w:val="uk-UA" w:eastAsia="ru-RU"/>
        </w:rPr>
      </w:pPr>
      <w:r w:rsidRPr="009E6055">
        <w:rPr>
          <w:rFonts w:ascii="Times New Roman" w:eastAsia="Times New Roman" w:hAnsi="Times New Roman" w:cs="Times New Roman"/>
          <w:b/>
          <w:bCs/>
          <w:sz w:val="36"/>
          <w:szCs w:val="36"/>
          <w:bdr w:val="none" w:sz="0" w:space="0" w:color="auto" w:frame="1"/>
          <w:shd w:val="clear" w:color="auto" w:fill="FFFFFF"/>
          <w:lang w:val="uk-UA" w:eastAsia="ru-RU"/>
        </w:rPr>
        <w:t>ОРГАНІЗАЦІЇ СУСПІЛЬНО _ КОРИСНИХ РОБІТ</w:t>
      </w:r>
    </w:p>
    <w:p w:rsidR="009E6055" w:rsidRPr="00356591" w:rsidRDefault="009E6055" w:rsidP="009E6055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 xml:space="preserve">             МАРТИНІВСЬКОЇ </w:t>
      </w:r>
      <w:r w:rsidRPr="00356591">
        <w:rPr>
          <w:rFonts w:ascii="Times New Roman" w:eastAsia="Times New Roman" w:hAnsi="Times New Roman" w:cs="Times New Roman"/>
          <w:b/>
          <w:sz w:val="36"/>
          <w:szCs w:val="36"/>
          <w:lang w:val="uk-UA" w:eastAsia="ru-RU"/>
        </w:rPr>
        <w:t>ТЕРИТОРІАЛЬНОЇ ГРОМАДИ НА 2021 РІК</w:t>
      </w:r>
    </w:p>
    <w:p w:rsidR="009E6055" w:rsidRPr="00356591" w:rsidRDefault="009E6055" w:rsidP="009E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val="uk-UA" w:eastAsia="ru-RU"/>
        </w:rPr>
      </w:pPr>
    </w:p>
    <w:p w:rsidR="009E6055" w:rsidRPr="00356591" w:rsidRDefault="009E6055" w:rsidP="009E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val="uk-UA" w:eastAsia="ru-RU"/>
        </w:rPr>
      </w:pPr>
    </w:p>
    <w:p w:rsidR="009E6055" w:rsidRPr="00356591" w:rsidRDefault="009E6055" w:rsidP="009E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val="uk-UA" w:eastAsia="ru-RU"/>
        </w:rPr>
      </w:pPr>
    </w:p>
    <w:p w:rsidR="009E6055" w:rsidRPr="00356591" w:rsidRDefault="009E6055" w:rsidP="009E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val="uk-UA" w:eastAsia="ru-RU"/>
        </w:rPr>
      </w:pPr>
    </w:p>
    <w:p w:rsidR="009E6055" w:rsidRPr="00356591" w:rsidRDefault="009E6055" w:rsidP="009E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val="uk-UA" w:eastAsia="ru-RU"/>
        </w:rPr>
      </w:pPr>
    </w:p>
    <w:p w:rsidR="009E6055" w:rsidRPr="00356591" w:rsidRDefault="009E6055" w:rsidP="009E605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48"/>
          <w:szCs w:val="48"/>
          <w:lang w:val="uk-UA" w:eastAsia="ru-RU"/>
        </w:rPr>
        <w:t xml:space="preserve">                                                       </w:t>
      </w:r>
      <w:r w:rsidRPr="00356591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Pr="0035659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20</w:t>
      </w:r>
      <w:r w:rsidRPr="0035659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56591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>рік</w:t>
      </w:r>
    </w:p>
    <w:p w:rsidR="009E6055" w:rsidRPr="00356591" w:rsidRDefault="009E6055" w:rsidP="009E6055">
      <w:pPr>
        <w:widowControl w:val="0"/>
        <w:shd w:val="clear" w:color="auto" w:fill="FFFFFF"/>
        <w:autoSpaceDE w:val="0"/>
        <w:autoSpaceDN w:val="0"/>
        <w:adjustRightInd w:val="0"/>
        <w:spacing w:before="266" w:after="0" w:line="274" w:lineRule="exact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D2EFE" w:rsidRPr="00BD2EFE" w:rsidRDefault="00BD2EFE" w:rsidP="00BD2EFE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bookmarkStart w:id="0" w:name="_GoBack"/>
      <w:bookmarkEnd w:id="0"/>
    </w:p>
    <w:p w:rsidR="00BD2EFE" w:rsidRPr="009E6055" w:rsidRDefault="00BD2EFE" w:rsidP="00BD2E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Програма організації суспільно-корисних робіт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для порушників, на яких судом накладено адміністративне стягнення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у вигляді виконання суспільно-корисних робіт</w:t>
      </w:r>
    </w:p>
    <w:p w:rsidR="00BD2EFE" w:rsidRPr="009E6055" w:rsidRDefault="003D467E" w:rsidP="00BD2E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у населених пунктах </w:t>
      </w:r>
      <w:r w:rsidRPr="009E605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Мартинівської</w:t>
      </w:r>
      <w:r w:rsidRPr="009E605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сільської ради на 20</w:t>
      </w:r>
      <w:r w:rsidRPr="009E605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21</w:t>
      </w:r>
      <w:r w:rsidRPr="009E605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р</w:t>
      </w:r>
      <w:r w:rsidRPr="009E605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ік.</w:t>
      </w:r>
      <w:r w:rsidR="00BD2EFE" w:rsidRPr="009E605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</w:p>
    <w:p w:rsidR="00BD2EFE" w:rsidRPr="009E6055" w:rsidRDefault="00BD2EFE" w:rsidP="00BD2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   І.</w:t>
      </w: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</w:t>
      </w:r>
      <w:r w:rsidRPr="009E605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Загальна характеристика Програми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293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"/>
        <w:gridCol w:w="4627"/>
        <w:gridCol w:w="7676"/>
      </w:tblGrid>
      <w:tr w:rsidR="009E6055" w:rsidRPr="009E6055" w:rsidTr="00BD2EFE">
        <w:trPr>
          <w:trHeight w:val="90"/>
        </w:trPr>
        <w:tc>
          <w:tcPr>
            <w:tcW w:w="4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1.</w:t>
            </w:r>
          </w:p>
        </w:tc>
        <w:tc>
          <w:tcPr>
            <w:tcW w:w="36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Ініціатор розроблення Програми</w:t>
            </w:r>
          </w:p>
        </w:tc>
        <w:tc>
          <w:tcPr>
            <w:tcW w:w="60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r w:rsidR="003D467E"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Мартинівська</w:t>
            </w:r>
            <w:r w:rsidR="003D467E"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сільська рада</w:t>
            </w:r>
          </w:p>
        </w:tc>
      </w:tr>
      <w:tr w:rsidR="009E6055" w:rsidRPr="009E6055" w:rsidTr="00BD2EFE">
        <w:trPr>
          <w:trHeight w:val="527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2.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Дата, номер і назва законодавчих документів щодо формування Програми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Закон України від 07.12.2017 року №2234-VIII «Про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</w:t>
            </w:r>
            <w:proofErr w:type="gram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»,  Кодексу</w:t>
            </w:r>
            <w:proofErr w:type="gramEnd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України про адміністративні правопорушення </w:t>
            </w:r>
          </w:p>
        </w:tc>
      </w:tr>
      <w:tr w:rsidR="009E6055" w:rsidRPr="009E6055" w:rsidTr="00BD2EFE">
        <w:trPr>
          <w:trHeight w:val="9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3.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Розробник Програми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3D467E" w:rsidP="00BD2EFE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Виконавчий комітет </w:t>
            </w: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Мартинівської</w:t>
            </w:r>
            <w:r w:rsidR="00BD2EFE"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сільської ради</w:t>
            </w:r>
          </w:p>
        </w:tc>
      </w:tr>
      <w:tr w:rsidR="009E6055" w:rsidRPr="009E6055" w:rsidTr="00BD2EFE">
        <w:trPr>
          <w:trHeight w:val="271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4.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Відповідальний</w:t>
            </w:r>
          </w:p>
          <w:p w:rsidR="00BD2EFE" w:rsidRPr="009E6055" w:rsidRDefault="00BD2EFE" w:rsidP="00BD2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виконавець Програми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3D467E" w:rsidP="00BD2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Виконавчий комітет </w:t>
            </w: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Мартинівської</w:t>
            </w:r>
            <w:r w:rsidR="00BD2EFE"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сільської ради</w:t>
            </w:r>
          </w:p>
        </w:tc>
      </w:tr>
      <w:tr w:rsidR="009E6055" w:rsidRPr="009E6055" w:rsidTr="00BD2EFE">
        <w:trPr>
          <w:trHeight w:val="90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9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5.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Учасники Програми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9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Виконавчий </w:t>
            </w:r>
            <w:r w:rsidR="003D467E"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комітет </w:t>
            </w:r>
            <w:r w:rsidR="003D467E"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Мартинівської</w:t>
            </w: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сільської ради, організації та установи комунальної власності</w:t>
            </w:r>
          </w:p>
        </w:tc>
      </w:tr>
      <w:tr w:rsidR="009E6055" w:rsidRPr="009E6055" w:rsidTr="00BD2EFE">
        <w:trPr>
          <w:trHeight w:val="441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6.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Термін реалізації Програми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3D467E" w:rsidP="00BD2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20</w:t>
            </w: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21</w:t>
            </w: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р</w:t>
            </w: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і</w:t>
            </w: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к</w:t>
            </w:r>
          </w:p>
        </w:tc>
      </w:tr>
      <w:tr w:rsidR="009E6055" w:rsidRPr="009E6055" w:rsidTr="00BD2EFE">
        <w:trPr>
          <w:trHeight w:val="367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7.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Кошти сільського бюджету</w:t>
            </w:r>
          </w:p>
        </w:tc>
      </w:tr>
      <w:tr w:rsidR="009E6055" w:rsidRPr="009E6055" w:rsidTr="00BD2EFE">
        <w:trPr>
          <w:trHeight w:val="818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8.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 межах фінансових можливостей</w:t>
            </w:r>
          </w:p>
        </w:tc>
      </w:tr>
      <w:tr w:rsidR="009E6055" w:rsidRPr="009E6055" w:rsidTr="00BD2EFE">
        <w:trPr>
          <w:trHeight w:val="322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9.</w:t>
            </w:r>
          </w:p>
        </w:tc>
        <w:tc>
          <w:tcPr>
            <w:tcW w:w="36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Основні джерела фінансування</w:t>
            </w:r>
          </w:p>
        </w:tc>
        <w:tc>
          <w:tcPr>
            <w:tcW w:w="60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Кошти місцевого бюджету, інші джерела не заборонені законодавством</w:t>
            </w:r>
          </w:p>
        </w:tc>
      </w:tr>
    </w:tbl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Відповідно до  ст. 26, 38, 59  України «Про місцеве самоврядування в Україні», Закону України від 07.12.2017 року №2234-VIII «Про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аліментів», на виконання статей 31-1, 325-1, 325-4  Кодексу України про адміністративні правопорушення  в інтересах захисту прав дітей на утримання організовуються оплачувані суспільно-корисні роботи для осіб, на яких судом призначено стягнення покарання у вигляді суспільно-корисних робіт. Ці роботи є видом оплачуваних суспільно-</w:t>
      </w: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lastRenderedPageBreak/>
        <w:t xml:space="preserve">корисних робіт, які організовуються для реалізації державної </w:t>
      </w:r>
      <w:proofErr w:type="gramStart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політики  захисту</w:t>
      </w:r>
      <w:proofErr w:type="gramEnd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прав та інтересів дітей на належне утримання  та примусового стягнення заборгованості зі сплати аліментів.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За порушення вимог вищезазначених законодавчих актів України передбачено адміністративне стягнення у вигляді </w:t>
      </w:r>
      <w:proofErr w:type="gramStart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виконання  суспільно</w:t>
      </w:r>
      <w:proofErr w:type="gramEnd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-корисних робіт особою, яка вчинила адміністративне правопорушення. Фінансування організації оплачуваних суспільно корисних робіт для порушників, на яких судом накладено адміністративне стягнення у вигляді суспільно-корисних робіт, здійснюється за рахунок коштів сільського бюджету та інших, не заборонених законодавством джерел.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У зв’язку з </w:t>
      </w:r>
      <w:proofErr w:type="gramStart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цим,  є</w:t>
      </w:r>
      <w:proofErr w:type="gramEnd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необхідність в прийнятті Програми організації суспільно-корисних робіт, для порушників, на яких судом накладено адміністративне стягнення у вигляді виконання суспільно-корисних робіт, в якій затвердити види суспільно-корисних робіт та перелік об’єктів, підприємств, установ і організацій, на яких проводитимуться оплачувані суспільно корисні роботи за рахунок фінансування коштів сільського бюджету.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ІІ. Проблеми, на розв’язання яких спрямована Програма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BM13"/>
      <w:bookmarkEnd w:id="1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2.1.З метою реалізації у 2019-2020 роках норм Закону України від 07.12.2017 року №2234-VIII «Про внесення змін до деяких законодавчих актів України щодо посилення захисту прав дитини на належне утримання шляхом вдосконалення порядку примусового стягнення заборгованості зі сплати аліментів», необхідно дотримуватися вимог нормативно-правових документів, а саме: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1.Статей  31</w:t>
      </w:r>
      <w:proofErr w:type="gramEnd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-1, 325-1, 325-4  Кодексу України про адміністративні правопорушення.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2.Договору про спільну діяльність з організації оплачуваних суспільно</w:t>
      </w:r>
      <w:r w:rsidR="003D467E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-корисних робіт між </w:t>
      </w:r>
      <w:r w:rsidR="003D467E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Мартинівської</w:t>
      </w: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сільською радою та підприємствами, установами та організаціями, на яких порушники відпрацьовуватимуть суспільно-корисні роботи.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3.Договору про відпрацювання суспільно</w:t>
      </w:r>
      <w:r w:rsidR="003D467E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-корисних робіт між </w:t>
      </w:r>
      <w:r w:rsidR="003D467E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Мартинівської</w:t>
      </w: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сільською радою та порушником.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2.2.Програма передбачає забезпечення виконання норм та вимог вищевказаних законодавчих актів при відпрацюванні порушниками суспільно корисних роб</w:t>
      </w:r>
      <w:r w:rsidR="003D467E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іт за направленням </w:t>
      </w:r>
      <w:r w:rsidR="003D467E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Карлівського</w:t>
      </w: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сектору з питань пробації центрального управління з питань виконання кримінальних покарань.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ІІІ. Мета Програми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3.1.Метою Програми є вирішення пріоритетних завдань державної політики у сфері забезпечення захисту прав дитини на належне утримання шляхом вдосконалення порядку примусового стягнення заборгованості зі сплати аліментів.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ІV. Шляхи і способи розв’язання проблем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          4.1.Шляхами і способами розв’язання проблем є: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1) організація відпрацювання порушниками адміністративного стягнення у вигляді суспільно-корисних робіт та примусового стягнення заборгованості зі сплати аліментів в інтересах захисту прав та інтересів дітей;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lastRenderedPageBreak/>
        <w:t xml:space="preserve">2) ведення обліку осіб (порушників) </w:t>
      </w:r>
      <w:proofErr w:type="gramStart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на</w:t>
      </w:r>
      <w:r w:rsidR="003D467E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правлених  </w:t>
      </w:r>
      <w:r w:rsidR="003D467E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Карлівським</w:t>
      </w:r>
      <w:proofErr w:type="gramEnd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сектором з питань апробації ЦМУ з питань виконання кримінальних покарань та пробації Міністерства юстиції на відбування покарання у вигляді суспільно-корисних робіт;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3) вивчення питання щодо необхідності забезпечення інвентарем та іншими засобами праці для проведення суспільно-корисних робіт.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4.2. Перелік підприємств, установ та організацій, на яких планується проведення суспільно корисних робіт:</w:t>
      </w:r>
    </w:p>
    <w:p w:rsidR="00BD2EFE" w:rsidRPr="009E6055" w:rsidRDefault="003D467E" w:rsidP="00BD2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- </w:t>
      </w:r>
      <w:proofErr w:type="gramStart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 xml:space="preserve">Мартинівська </w:t>
      </w:r>
      <w:r w:rsidR="00BD2EFE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сільська</w:t>
      </w:r>
      <w:proofErr w:type="gramEnd"/>
      <w:r w:rsidR="00BD2EFE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рада</w:t>
      </w:r>
    </w:p>
    <w:p w:rsidR="003D467E" w:rsidRPr="009E6055" w:rsidRDefault="003D467E" w:rsidP="00BD2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- Варварівський старостинський округ</w:t>
      </w:r>
    </w:p>
    <w:p w:rsidR="003D467E" w:rsidRPr="009E6055" w:rsidRDefault="003D467E" w:rsidP="00BD2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uk-UA" w:eastAsia="ru-RU"/>
        </w:rPr>
        <w:t>- Білухівський старостинський округ</w:t>
      </w:r>
    </w:p>
    <w:p w:rsidR="00BD2EFE" w:rsidRPr="009E6055" w:rsidRDefault="00BD2EFE" w:rsidP="00BD2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4.3.Перелік видів оплачуваних суспільно-корисних робіт: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 - благоустрій та озеленення території населених пунктів сільської ради, об’єктів соціальної сфери, кладовищ, зон відпочинку, культових споруд;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 -  ліквідація стихійних сміттєзвалищ, очищення та благоустрій водовідвідних канав. містків, водопропускних труб та водовідливів;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 -  роботи, пов’язані з утриманням автомобільних доріг та придорожніх смуг;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 -  благоустрій територій та будівель державних підприємств;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 -  роботи, пов’язані з будівництвом або ремонтом об’єктів соціальної сфери (навчальних закладів, спортивних закладів, закладів культури і охорони здоров’я, дитячих оздоровчих таборів);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            -  роботи, пов’язані з ремонтом мереж </w:t>
      </w:r>
      <w:proofErr w:type="gramStart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тепло- та</w:t>
      </w:r>
      <w:proofErr w:type="gramEnd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водопостачання установ комунальної та державної власності;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 -  прибирання та збір (заготівля) вторинної сировини (макулатура, поліетилен, склобій, пет-пляшка, відходи пінопласту, ганчір‘</w:t>
      </w:r>
      <w:proofErr w:type="gramStart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я)  в</w:t>
      </w:r>
      <w:proofErr w:type="gramEnd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громадських місцях та зонах відпочинку населених пунктів сільської ради, придорожніх смугах;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 -   основні та допоміжні будівельні роботи в установах комунальної та державної власності;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 -   впорядкування території населених пунктів сільської ради з метою ліквідації наслідків надзвичайних ситуацій, визнаних такими у встановленому порядку;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 -   впорядкування місць меморіального поховання, пам’ятників та пам’ятних місць, які мають офіційний статус та зареєстровані на території населеного пункту;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 -    роботи, пов’язані з ремонтом приватних житлових будинків одиноких осіб, ветеранів війни, інвалідів, що проводяться за рішеннями органів місцевого самоврядування;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            - робота з документами по оформленню субсидій для жителів населених пунктів сільської ради;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            -   інші доступні види трудової діяльності (кваліфікованого та некваліфікованого характеру), що проводяться за рахунок коштів підприємств, установ та організацій, і </w:t>
      </w:r>
      <w:proofErr w:type="gramStart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які  сприяють</w:t>
      </w:r>
      <w:proofErr w:type="gramEnd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соціальному та економічному розвитку населених пунктів сільської ради.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4. Підприємства, установи і організації, на яких планується проведення суспільно корисних робіт: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1) укладають тимчасові цивільно-правові угоди для організації суспільно-корисних робіт;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2) у</w:t>
      </w:r>
      <w:r w:rsidR="00BD5A14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кладають договори з </w:t>
      </w:r>
      <w:r w:rsidR="00BD5A14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Мартинівської</w:t>
      </w: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сільською радою про організацію та проведення суспільно корисних робіт;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3)  надають перелік видів суспільно- корисних робіт;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lastRenderedPageBreak/>
        <w:t xml:space="preserve">4) укладають з направленими особами, на відпрацювання суспільно-корисних робіт, </w:t>
      </w:r>
      <w:proofErr w:type="gramStart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тимчасові  трудові</w:t>
      </w:r>
      <w:proofErr w:type="gramEnd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договори на участь в суспільно-корисних роботах;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5) інформують порушників про умови, режим роботи, оплату </w:t>
      </w:r>
      <w:proofErr w:type="gramStart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праці  на</w:t>
      </w:r>
      <w:proofErr w:type="gramEnd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підприємстві, в організації, установі;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6)  здійснюють облік відпрацювання робочого часу порушником;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7) </w:t>
      </w:r>
      <w:proofErr w:type="gramStart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оформляють  звітну</w:t>
      </w:r>
      <w:proofErr w:type="gramEnd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документацію на оплату праці порушників, зайнятих на суспільно- корисних роботах, та перерахування заробітку або частки заробітку, відповідно до діючого законодавства, на відповідний рахунок органу державної виконавчої служби для погашення заборгованості зі сплати аліментів.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V. Завдання та заходи Програми</w:t>
      </w:r>
    </w:p>
    <w:tbl>
      <w:tblPr>
        <w:tblW w:w="1293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"/>
        <w:gridCol w:w="4107"/>
        <w:gridCol w:w="2957"/>
        <w:gridCol w:w="2218"/>
        <w:gridCol w:w="2932"/>
      </w:tblGrid>
      <w:tr w:rsidR="009E6055" w:rsidRPr="009E6055" w:rsidTr="00BD2EFE">
        <w:tc>
          <w:tcPr>
            <w:tcW w:w="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№ з/п</w:t>
            </w:r>
          </w:p>
        </w:tc>
        <w:tc>
          <w:tcPr>
            <w:tcW w:w="3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Назва заходу</w:t>
            </w:r>
          </w:p>
        </w:tc>
        <w:tc>
          <w:tcPr>
            <w:tcW w:w="2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Виконавець</w:t>
            </w:r>
          </w:p>
        </w:tc>
        <w:tc>
          <w:tcPr>
            <w:tcW w:w="1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Джерело фінансування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Обсяги фінансування</w:t>
            </w:r>
          </w:p>
        </w:tc>
      </w:tr>
      <w:tr w:rsidR="009E6055" w:rsidRPr="009E6055" w:rsidTr="00BD2EFE">
        <w:trPr>
          <w:trHeight w:val="418"/>
        </w:trPr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Укладання договорів з підприємствами, установами, організаціями, не прямого підпорядкування, про організацію та </w:t>
            </w:r>
            <w:proofErr w:type="gram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проведення  суспільно</w:t>
            </w:r>
            <w:proofErr w:type="gramEnd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корисних робіт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Бухгалтерія сільської ради</w:t>
            </w:r>
          </w:p>
          <w:p w:rsidR="00BD2EFE" w:rsidRPr="009E6055" w:rsidRDefault="00BD5A14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Управління правового та кадрового забезпечення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Не потребує фінансування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Не потребує фінансування</w:t>
            </w:r>
          </w:p>
        </w:tc>
      </w:tr>
      <w:tr w:rsidR="009E6055" w:rsidRPr="009E6055" w:rsidTr="00BD2EFE"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2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Підписання тимчасових угод підприємствами, установами</w:t>
            </w:r>
            <w:r w:rsidR="00BD5A14"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і </w:t>
            </w:r>
            <w:proofErr w:type="gramStart"/>
            <w:r w:rsidR="00BD5A14"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організаціями  з</w:t>
            </w:r>
            <w:proofErr w:type="gramEnd"/>
            <w:r w:rsidR="00BD5A14"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r w:rsidR="00BD5A14"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Мартинівською</w:t>
            </w: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сільською радою про організацію та проведення суспільно корисних робіт для порушників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Виконавчий комітет сільської ради</w:t>
            </w:r>
          </w:p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Бухгалтерія сільської ради</w:t>
            </w:r>
          </w:p>
          <w:p w:rsidR="00BD2EFE" w:rsidRPr="009E6055" w:rsidRDefault="00BD5A14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Управління правового та кадрового забезпечення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Не потребує фінансування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Не потребує фінансування</w:t>
            </w:r>
          </w:p>
        </w:tc>
      </w:tr>
      <w:tr w:rsidR="009E6055" w:rsidRPr="009E6055" w:rsidTr="00BD2EFE"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3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Підготовка розпорядчих </w:t>
            </w:r>
            <w:proofErr w:type="gram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документів  на</w:t>
            </w:r>
            <w:proofErr w:type="gramEnd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направлення  порушників на суспільно-корисні роботи (за  погодженням з органом центрального органу виконавчої влади, що реалізує державну політику у сфері виконання кримінальних покарань)  згідно переліку об’єктів, на </w:t>
            </w: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lastRenderedPageBreak/>
              <w:t>яких  порушники виконують суспільно-корисні роботи та видів таких робіт)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lastRenderedPageBreak/>
              <w:t>Виконавчий комітет сільської ради</w:t>
            </w:r>
          </w:p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D2EFE" w:rsidRPr="009E6055" w:rsidRDefault="00BD5A14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Управління правового та кадрового забезпечення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Не потребує фінансування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Не потребує фінансування</w:t>
            </w:r>
          </w:p>
        </w:tc>
      </w:tr>
      <w:tr w:rsidR="009E6055" w:rsidRPr="009E6055" w:rsidTr="00BD2EFE"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4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5A14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Повідомлення </w:t>
            </w:r>
            <w:proofErr w:type="gram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Карлівського</w:t>
            </w: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r w:rsidR="00BD2EFE"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відділу</w:t>
            </w:r>
            <w:proofErr w:type="gramEnd"/>
            <w:r w:rsidR="00BD2EFE"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з питань пробації центрального управління з питань виконання кримінальних покарань про ухилення порушника від виконання суспільно корисних робіт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Виконавчий комітет сільської ради</w:t>
            </w:r>
          </w:p>
          <w:p w:rsidR="00BD2EFE" w:rsidRPr="009E6055" w:rsidRDefault="00BD5A14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С</w:t>
            </w:r>
            <w:r w:rsidR="00BD2EFE"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тарости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Не потребує фінансування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Не потребує фінансування</w:t>
            </w:r>
          </w:p>
        </w:tc>
      </w:tr>
      <w:tr w:rsidR="009E6055" w:rsidRPr="009E6055" w:rsidTr="00BD2EFE"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5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Інформування порушників про умови, режим роботи, оплату </w:t>
            </w:r>
            <w:proofErr w:type="gram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праці  на</w:t>
            </w:r>
            <w:proofErr w:type="gramEnd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підприємстві, в організації, установі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Виконавчий комітет сільської ради</w:t>
            </w:r>
          </w:p>
          <w:p w:rsidR="00BD2EFE" w:rsidRPr="009E6055" w:rsidRDefault="00BD5A14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С</w:t>
            </w:r>
            <w:r w:rsidR="00BD2EFE"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тарости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Не потребує фінансування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Не потребує фінансування</w:t>
            </w:r>
          </w:p>
        </w:tc>
      </w:tr>
      <w:tr w:rsidR="009E6055" w:rsidRPr="009E6055" w:rsidTr="00BD2EFE"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6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Здійснення контролю </w:t>
            </w:r>
            <w:proofErr w:type="gram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за  виконанням</w:t>
            </w:r>
            <w:proofErr w:type="gramEnd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порушниками призначених їм робіт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Виконавчий комітет сільської ради</w:t>
            </w:r>
          </w:p>
          <w:p w:rsidR="00BD2EFE" w:rsidRPr="009E6055" w:rsidRDefault="00BD5A14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С</w:t>
            </w:r>
            <w:r w:rsidR="00BD2EFE"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тарости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Не потребує фінансування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Не потребує фінансування</w:t>
            </w:r>
          </w:p>
        </w:tc>
      </w:tr>
      <w:tr w:rsidR="009E6055" w:rsidRPr="009E6055" w:rsidTr="00BD2EFE"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7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5A14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Повідомлення </w:t>
            </w:r>
            <w:proofErr w:type="gram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Карлівського</w:t>
            </w: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r w:rsidR="00BD2EFE"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відділу</w:t>
            </w:r>
            <w:proofErr w:type="gramEnd"/>
            <w:r w:rsidR="00BD2EFE"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з питань пробації центрального управління з питань виконання кримінальних покарань, про кількість відпрацьованих годин порушником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Виконавчий комітет сільської ради</w:t>
            </w:r>
          </w:p>
          <w:p w:rsidR="00BD2EFE" w:rsidRPr="009E6055" w:rsidRDefault="00BD5A14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С</w:t>
            </w:r>
            <w:r w:rsidR="00BD2EFE"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тарости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Не потребує фінансування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Не потребує фінансування</w:t>
            </w:r>
          </w:p>
        </w:tc>
      </w:tr>
      <w:tr w:rsidR="009E6055" w:rsidRPr="009E6055" w:rsidTr="00BD2EFE"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8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Фінансування суспільно-корисних робіт, нарахування з/плати порушнику за виконання суспільно-корисних робіт та перерахування її на відповідний рахунок органу державної виконавчої служби для погашення заборгованості зі сплати аліментів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Виконком сільської ради</w:t>
            </w:r>
          </w:p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Бухгалтерія сільської ради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Місцевий бюджет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 межах фінансових можливостей</w:t>
            </w:r>
          </w:p>
        </w:tc>
      </w:tr>
      <w:tr w:rsidR="009E6055" w:rsidRPr="009E6055" w:rsidTr="00BD2EFE"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9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Здійснення матеріального забезпечення </w:t>
            </w:r>
            <w:proofErr w:type="gram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виконання  суспільно</w:t>
            </w:r>
            <w:proofErr w:type="gramEnd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-корисних робіт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Виконком сільської ради</w:t>
            </w:r>
          </w:p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Бухгалтерія сільської ради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Місцевий бюджет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 межах фінансових можливостей</w:t>
            </w:r>
          </w:p>
        </w:tc>
      </w:tr>
      <w:tr w:rsidR="009E6055" w:rsidRPr="009E6055" w:rsidTr="00BD2EFE">
        <w:tc>
          <w:tcPr>
            <w:tcW w:w="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10</w:t>
            </w:r>
          </w:p>
        </w:tc>
        <w:tc>
          <w:tcPr>
            <w:tcW w:w="3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Здійснення компенсації витрат </w:t>
            </w:r>
            <w:proofErr w:type="gram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lastRenderedPageBreak/>
              <w:t>роботодавцям,  на</w:t>
            </w:r>
            <w:proofErr w:type="gramEnd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  проведення суспільно- корисних робіт  порушниками за рахунок коштів сільського бюджету згідно з поданими розрахунками (кошторисом, табелем обліку кількості відпрацьованих порушником годин) в частині оплати праці порушнику.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lastRenderedPageBreak/>
              <w:t>Виконком сільської ради</w:t>
            </w:r>
          </w:p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Бухгалтерія сільської ради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lastRenderedPageBreak/>
              <w:t>Місцевий бюджет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D2EFE" w:rsidRPr="009E6055" w:rsidRDefault="00BD2EFE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В межах фінансових </w:t>
            </w: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lastRenderedPageBreak/>
              <w:t>можливостей</w:t>
            </w:r>
          </w:p>
        </w:tc>
      </w:tr>
    </w:tbl>
    <w:p w:rsidR="00BD2EFE" w:rsidRPr="009E6055" w:rsidRDefault="00BD2EFE" w:rsidP="00BD2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VІ</w:t>
      </w: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. </w:t>
      </w:r>
      <w:r w:rsidRPr="009E605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Ресурсне забезпечення Програми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6.1.Фінансування суспільно корисних робіт проводиться за рахунок коштів сільського бюджету згідно з кошторисом витрат на оплату праці осіб та інших не заборонених законодавством джерел.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6.2.Підґрунтям для розрахунку коштів, необхідних на організацію оплачуваних суспільно- корисних робіт, для порушників на яких судом накладено адміністративне стягнення у вигляді суспільно-корисних робіт є: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1) кількість осіб, порушників направлених на суспільно кори</w:t>
      </w:r>
      <w:r w:rsidR="00BD5A14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сні роботи </w:t>
      </w:r>
      <w:r w:rsidR="00BD5A14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Карлівським</w:t>
      </w: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сектором з питань пробації ЦМУ з питань виконання кримінальних покарань та пробації Міністерства юстиції;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2) перелік об’єктів, підприємств, установ та організацій на яких планується проведення суспільно-корисних робіт, для осіб (порушників) на яких судом накладено стягнення покарання у вигляді суспільно-корисних </w:t>
      </w:r>
      <w:proofErr w:type="gramStart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робіт,  за</w:t>
      </w:r>
      <w:proofErr w:type="gramEnd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рахунок фінансування з сільського бюджету;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3) перелік видів оплачуваних суспільно-корисних робіт, для осіб на яких судом призначено стягнення покарання у вигляді суспільно-корисних робіт на територі</w:t>
      </w:r>
      <w:r w:rsidR="00BD5A14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ї населених пунктів </w:t>
      </w:r>
      <w:r w:rsidR="00BD5A14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Мартинівської</w:t>
      </w: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сільської ради.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4) обліку, розрахунків, кошторису витрат на оплату праці за виконання суспільно-корисних робіт;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5) нарахування оплати праці порушнику за виконання суспільно-корисних робіт та перерахування її на відповідний рахунок органу державної виконавчої служби для подальшого погашення заборгованості зі сплати аліментів.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490" w:type="dxa"/>
        <w:tblInd w:w="39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"/>
        <w:gridCol w:w="7374"/>
        <w:gridCol w:w="102"/>
        <w:gridCol w:w="2984"/>
      </w:tblGrid>
      <w:tr w:rsidR="009E6055" w:rsidRPr="009E6055" w:rsidTr="00996A52">
        <w:tc>
          <w:tcPr>
            <w:tcW w:w="74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A52" w:rsidRPr="009E6055" w:rsidRDefault="00996A52" w:rsidP="00BD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308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A52" w:rsidRPr="009E6055" w:rsidRDefault="00996A52" w:rsidP="00BD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E6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20</w:t>
            </w:r>
            <w:r w:rsidRPr="009E60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21рік.</w:t>
            </w:r>
          </w:p>
        </w:tc>
      </w:tr>
      <w:tr w:rsidR="009E6055" w:rsidRPr="009E6055" w:rsidTr="00996A52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6A52" w:rsidRPr="009E6055" w:rsidRDefault="00996A52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4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A52" w:rsidRPr="009E6055" w:rsidRDefault="00996A52" w:rsidP="00BD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Обсяг ресурсів </w:t>
            </w:r>
            <w:proofErr w:type="gram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усього,.</w:t>
            </w:r>
            <w:proofErr w:type="gramEnd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грн.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A52" w:rsidRPr="009E6055" w:rsidRDefault="00996A52" w:rsidP="00BD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36000грн.</w:t>
            </w:r>
          </w:p>
        </w:tc>
      </w:tr>
      <w:tr w:rsidR="009E6055" w:rsidRPr="009E6055" w:rsidTr="00996A52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6A52" w:rsidRPr="009E6055" w:rsidRDefault="00996A52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4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A52" w:rsidRPr="009E6055" w:rsidRDefault="00996A52" w:rsidP="00BD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Бюджет сільської </w:t>
            </w:r>
            <w:proofErr w:type="gramStart"/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ради  грн</w:t>
            </w: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.</w:t>
            </w:r>
            <w:proofErr w:type="gramEnd"/>
          </w:p>
        </w:tc>
        <w:tc>
          <w:tcPr>
            <w:tcW w:w="2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A52" w:rsidRPr="009E6055" w:rsidRDefault="00996A52" w:rsidP="00BD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36000грн.</w:t>
            </w:r>
          </w:p>
        </w:tc>
      </w:tr>
      <w:tr w:rsidR="009E6055" w:rsidRPr="009E6055" w:rsidTr="00996A52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6A52" w:rsidRPr="009E6055" w:rsidRDefault="00996A52" w:rsidP="00BD2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747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A52" w:rsidRPr="009E6055" w:rsidRDefault="00996A52" w:rsidP="00BD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Інші джерела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6A52" w:rsidRPr="009E6055" w:rsidRDefault="00996A52" w:rsidP="00BD2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-</w:t>
            </w:r>
          </w:p>
        </w:tc>
      </w:tr>
      <w:tr w:rsidR="009E6055" w:rsidRPr="009E6055" w:rsidTr="00996A52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6A52" w:rsidRPr="009E6055" w:rsidRDefault="00996A52" w:rsidP="00BD2EF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6A52" w:rsidRPr="009E6055" w:rsidRDefault="00996A52" w:rsidP="00BD2EF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6A52" w:rsidRPr="009E6055" w:rsidRDefault="00996A52" w:rsidP="00BD2EFE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60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          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lastRenderedPageBreak/>
        <w:t>            Термін дії П</w:t>
      </w:r>
      <w:r w:rsidR="00996A52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рограми – </w:t>
      </w:r>
      <w:r w:rsidR="00996A52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2021рік</w:t>
      </w: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.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VІІ. Використання коштів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2EFE" w:rsidRPr="009E6055" w:rsidRDefault="00BD2EFE" w:rsidP="00BD2EF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7.1.Фінансування видатків за напрямами Програми здійснюється з сільського бюджету в межах фінансових можливостей, а саме:</w:t>
      </w:r>
    </w:p>
    <w:p w:rsidR="00BD2EFE" w:rsidRPr="009E6055" w:rsidRDefault="00BD2EFE" w:rsidP="00BD2EF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1) нарахування та оплата праці за виконання оплачуваних суспільно-корисних робіт, особам направленим на відбування адміністративного стягнення у вигляді суспільно-корисних робіт;</w:t>
      </w:r>
    </w:p>
    <w:p w:rsidR="00BD2EFE" w:rsidRPr="009E6055" w:rsidRDefault="00BD2EFE" w:rsidP="00BD2EF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2) перерахування плати на відповідний рахунок органу державної виконавчої служби для подальшого погашення заборгованості зі сплати аліментів;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3) витрати на придбання інвентаря та інших засобів для організації виконання суспільно-корисних робіт.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7.2. Не допускається спрямування бюджетних коштів за напрямами (завданнями та заходами), не передбаченими Програмою, реалізацію завдань і заходів, метою яких є отримання прибутку або виконання яких не може забезпечити ефективну реалізацію державної політики у сфері захисту прав та інтересів дітей та примусового стягнення зі сплати аліментів боржниками (порушниками) на яких судом накладено адміністративне стягнення у вигляді суспільно-корисних робіт.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VІІІ. </w:t>
      </w:r>
      <w:proofErr w:type="gramStart"/>
      <w:r w:rsidRPr="009E605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Очікувані  результати</w:t>
      </w:r>
      <w:proofErr w:type="gramEnd"/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8.1.Забезпечення виконання вимог Законодавчих актів України, щодо виконання порушниками адміністративного стягнення у вигляді суспільно-корисних робіт, в інтересах захисту прав та інтересів дітей та примусового стягнення заборгованості зі сплати аліментів боржниками.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BM26"/>
      <w:bookmarkEnd w:id="2"/>
      <w:r w:rsidRPr="009E6055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  <w:lang w:eastAsia="ru-RU"/>
        </w:rPr>
        <w:t>ІХ. Координація та контроль за ходом виконання Програми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9.1.Координація </w:t>
      </w:r>
      <w:proofErr w:type="gramStart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діяльності  та</w:t>
      </w:r>
      <w:proofErr w:type="gramEnd"/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контроль за виконанням Програми організації суспільно корисних робіт для порушників, на яких судом накладено адміністративне стягнення у вигляді виконання суспільно-корисних робіт </w:t>
      </w:r>
      <w:r w:rsidR="00996A52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у населених пунктах </w:t>
      </w:r>
      <w:r w:rsidR="00996A52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Мартинівської</w:t>
      </w:r>
      <w:r w:rsidR="00996A52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сільської ради на 20</w:t>
      </w:r>
      <w:r w:rsidR="00996A52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21</w:t>
      </w:r>
      <w:r w:rsidR="00996A52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 xml:space="preserve"> р</w:t>
      </w:r>
      <w:r w:rsidR="00996A52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 w:eastAsia="ru-RU"/>
        </w:rPr>
        <w:t>і</w:t>
      </w:r>
      <w:r w:rsidR="00996A52"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к</w:t>
      </w:r>
      <w:r w:rsidRPr="009E605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eastAsia="ru-RU"/>
        </w:rPr>
        <w:t>  покладається на виконавчий комітет Вашковецької сільської ради.</w:t>
      </w:r>
    </w:p>
    <w:p w:rsidR="00BD2EFE" w:rsidRPr="009E6055" w:rsidRDefault="00BD2EFE" w:rsidP="00BD2EF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60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2EFE" w:rsidRPr="00BD2EFE" w:rsidRDefault="00BD2EFE" w:rsidP="00BD2E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D2EF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BD2EFE" w:rsidRPr="00BD2EFE" w:rsidRDefault="00BD2EFE" w:rsidP="00BD2E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D2EF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BD2EFE" w:rsidRPr="00BD2EFE" w:rsidRDefault="00BD2EFE" w:rsidP="00BD2EF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D2EFE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356591" w:rsidRDefault="00356591" w:rsidP="00996A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56591" w:rsidRDefault="00356591" w:rsidP="00996A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56591" w:rsidRDefault="00356591" w:rsidP="00356591">
      <w:pPr>
        <w:widowControl w:val="0"/>
        <w:autoSpaceDE w:val="0"/>
        <w:autoSpaceDN w:val="0"/>
        <w:adjustRightInd w:val="0"/>
        <w:spacing w:before="240" w:after="60" w:line="240" w:lineRule="auto"/>
        <w:outlineLvl w:val="8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9E6055" w:rsidRDefault="009E6055" w:rsidP="00356591">
      <w:pPr>
        <w:widowControl w:val="0"/>
        <w:autoSpaceDE w:val="0"/>
        <w:autoSpaceDN w:val="0"/>
        <w:adjustRightInd w:val="0"/>
        <w:spacing w:before="240" w:after="60" w:line="240" w:lineRule="auto"/>
        <w:outlineLvl w:val="8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356591" w:rsidRPr="00996A52" w:rsidRDefault="00356591" w:rsidP="00996A5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val="uk-UA" w:eastAsia="ru-RU"/>
        </w:rPr>
      </w:pPr>
    </w:p>
    <w:p w:rsidR="00900A64" w:rsidRDefault="00900A64"/>
    <w:sectPr w:rsidR="00900A64" w:rsidSect="00BD2E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73F"/>
    <w:rsid w:val="00356591"/>
    <w:rsid w:val="003D467E"/>
    <w:rsid w:val="0071073F"/>
    <w:rsid w:val="00900A64"/>
    <w:rsid w:val="00996A52"/>
    <w:rsid w:val="009E6055"/>
    <w:rsid w:val="00BD2EFE"/>
    <w:rsid w:val="00BD5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790F4-AF0F-4B8E-9F81-9D42C74E4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60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60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4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1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2306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Rodik</dc:creator>
  <cp:keywords/>
  <dc:description/>
  <cp:lastModifiedBy>sekretar</cp:lastModifiedBy>
  <cp:revision>5</cp:revision>
  <cp:lastPrinted>2020-12-23T16:45:00Z</cp:lastPrinted>
  <dcterms:created xsi:type="dcterms:W3CDTF">2020-12-20T12:18:00Z</dcterms:created>
  <dcterms:modified xsi:type="dcterms:W3CDTF">2020-12-23T16:47:00Z</dcterms:modified>
</cp:coreProperties>
</file>