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D8BAE6" w14:textId="77777777" w:rsidR="00C00159" w:rsidRDefault="00C00159" w:rsidP="00C00159">
      <w:pPr>
        <w:tabs>
          <w:tab w:val="left" w:pos="8355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0086F861" w14:textId="2D73B9E5" w:rsidR="00C00159" w:rsidRDefault="00C00159" w:rsidP="00C001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A52717E" wp14:editId="25FB1C27">
            <wp:simplePos x="0" y="0"/>
            <wp:positionH relativeFrom="column">
              <wp:posOffset>2782570</wp:posOffset>
            </wp:positionH>
            <wp:positionV relativeFrom="paragraph">
              <wp:posOffset>-99060</wp:posOffset>
            </wp:positionV>
            <wp:extent cx="485775" cy="657225"/>
            <wp:effectExtent l="0" t="0" r="9525" b="9525"/>
            <wp:wrapSquare wrapText="lef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 w:type="textWrapping" w:clear="all"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МАРТИНІВСЬКА  СІЛЬСЬКА РАДА</w:t>
      </w:r>
    </w:p>
    <w:p w14:paraId="54F34727" w14:textId="77777777" w:rsidR="00C00159" w:rsidRDefault="00C00159" w:rsidP="00C00159">
      <w:pPr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ПОЛТАВСЬКОЇ ОБЛАСТІ</w:t>
      </w:r>
    </w:p>
    <w:p w14:paraId="13FD7991" w14:textId="77777777" w:rsidR="00C00159" w:rsidRDefault="00C00159" w:rsidP="00C001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ВИКОНАВЧИЙ КОМІТЕТ</w:t>
      </w:r>
    </w:p>
    <w:p w14:paraId="7E2D58CF" w14:textId="77777777" w:rsidR="00C00159" w:rsidRDefault="00C00159" w:rsidP="00C001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2CB4F2B0" w14:textId="77777777" w:rsidR="00C00159" w:rsidRDefault="00C00159" w:rsidP="00C001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РІШЕННЯ</w:t>
      </w:r>
    </w:p>
    <w:p w14:paraId="34CF1C96" w14:textId="72313AEF" w:rsidR="00C00159" w:rsidRPr="00E93D36" w:rsidRDefault="00C00159" w:rsidP="00C00159">
      <w:pPr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від  24 січня 2022 року                                                                      №</w:t>
      </w:r>
      <w:r w:rsidR="00816F83" w:rsidRPr="00816F83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1</w:t>
      </w:r>
      <w:r w:rsidR="00816F83" w:rsidRPr="00E93D36">
        <w:rPr>
          <w:rFonts w:ascii="Times New Roman" w:eastAsia="Times New Roman" w:hAnsi="Times New Roman"/>
          <w:i/>
          <w:sz w:val="28"/>
          <w:szCs w:val="28"/>
          <w:lang w:val="uk-UA" w:eastAsia="ru-RU"/>
        </w:rPr>
        <w:t>15/2022</w:t>
      </w:r>
    </w:p>
    <w:p w14:paraId="08886762" w14:textId="77777777" w:rsidR="00C00159" w:rsidRPr="00C00159" w:rsidRDefault="00C00159" w:rsidP="00C00159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333333"/>
          <w:sz w:val="28"/>
          <w:szCs w:val="28"/>
          <w:bdr w:val="none" w:sz="0" w:space="0" w:color="auto" w:frame="1"/>
          <w:lang w:val="uk-UA"/>
        </w:rPr>
      </w:pPr>
    </w:p>
    <w:p w14:paraId="73F2D99D" w14:textId="77777777" w:rsidR="00C00159" w:rsidRDefault="00C00159" w:rsidP="00C0015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Про збільшення дохідної та</w:t>
      </w:r>
    </w:p>
    <w:p w14:paraId="46935305" w14:textId="77777777" w:rsidR="00C00159" w:rsidRDefault="00C00159" w:rsidP="00C0015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видаткої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частини загального фонду бюджету</w:t>
      </w:r>
    </w:p>
    <w:p w14:paraId="1CE4D1BE" w14:textId="77777777" w:rsidR="00C00159" w:rsidRDefault="00C00159" w:rsidP="00C0015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Мартинівської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територіальної</w:t>
      </w:r>
    </w:p>
    <w:p w14:paraId="114F2138" w14:textId="77777777" w:rsidR="00C00159" w:rsidRDefault="00C00159" w:rsidP="00C0015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громади (код бюджету 16567000000)</w:t>
      </w:r>
    </w:p>
    <w:p w14:paraId="23BA27DA" w14:textId="77777777" w:rsidR="00C00159" w:rsidRDefault="00C00159" w:rsidP="00C00159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797AD1D" w14:textId="77777777" w:rsidR="00C00159" w:rsidRDefault="00C00159" w:rsidP="00C00159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Керуючись статтями 28, 52 Закону України «Про місцеве самоврядування в Україні», статтею 23, частиною 7 статті 108 Бюджетного кодексу України, рішенням чотирнадцятої чергової сесії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восьмого скликання від 21 грудня 2021 року «Про бюджет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громади на 2022 рік» 16567000000 (код бюджету), за рекомендацією постійної комісії сільської ради з питань планування, фінансів, бюджету та соціально-економічного розвитку  виконавчий комітет сільської ради ВИРІШИВ:</w:t>
      </w:r>
    </w:p>
    <w:p w14:paraId="50D8FFFC" w14:textId="77777777" w:rsidR="00C00159" w:rsidRDefault="00C00159" w:rsidP="00C0015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зв’язку з виробничою необхідністю в міжсесійний період збільшити обсяг дохідної частини бюджету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територіальної громади на 2022 рік по ККД 41040500 - дотація з місцевого бюджету на проведення розрахунків протягом опалювального періоду за комунальні послуги та енергоносії, які споживаються установами, організаціями, підприємствами, що утримуються за рахунок відповідної додаткової дотації з державного бюджету.</w:t>
      </w:r>
    </w:p>
    <w:p w14:paraId="2FE14735" w14:textId="2F29E259" w:rsidR="00C00159" w:rsidRDefault="00C00159" w:rsidP="00C0015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Визначити головним розпорядником коштів відділ освіти, культури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сільської ради по КПКВК МБ </w:t>
      </w:r>
      <w:r w:rsidR="00A9476E">
        <w:rPr>
          <w:rFonts w:ascii="Times New Roman" w:hAnsi="Times New Roman"/>
          <w:sz w:val="28"/>
          <w:szCs w:val="28"/>
          <w:lang w:val="uk-UA"/>
        </w:rPr>
        <w:t>0611021, КЕКВ 2274-239 400,00 грн, по КПКВК МБ 06110</w:t>
      </w:r>
      <w:r w:rsidR="00E93D36" w:rsidRPr="00E93D36">
        <w:rPr>
          <w:rFonts w:ascii="Times New Roman" w:hAnsi="Times New Roman"/>
          <w:sz w:val="28"/>
          <w:szCs w:val="28"/>
        </w:rPr>
        <w:t>21</w:t>
      </w:r>
      <w:bookmarkStart w:id="0" w:name="_GoBack"/>
      <w:bookmarkEnd w:id="0"/>
      <w:r w:rsidR="00A9476E">
        <w:rPr>
          <w:rFonts w:ascii="Times New Roman" w:hAnsi="Times New Roman"/>
          <w:sz w:val="28"/>
          <w:szCs w:val="28"/>
          <w:lang w:val="uk-UA"/>
        </w:rPr>
        <w:t>, КЕКВ 2273-302 000,00 грн.</w:t>
      </w:r>
    </w:p>
    <w:p w14:paraId="70757BDE" w14:textId="17C383F7" w:rsidR="00C00159" w:rsidRDefault="00C00159" w:rsidP="00C0015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Додатки 1-</w:t>
      </w:r>
      <w:r w:rsidR="00956B10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 xml:space="preserve"> є невід</w:t>
      </w:r>
      <w:r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ємною частиною даного рішення.</w:t>
      </w:r>
    </w:p>
    <w:p w14:paraId="661DD5A7" w14:textId="77777777" w:rsidR="00C00159" w:rsidRDefault="00C00159" w:rsidP="00C0015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даного рішення покласти на постійну комісію сільської ради з питань планування, фінансів, бюджету та соціально-економічного розвитку.</w:t>
      </w:r>
    </w:p>
    <w:p w14:paraId="219A57FD" w14:textId="77777777" w:rsidR="00C00159" w:rsidRDefault="00C00159" w:rsidP="00C0015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Фінансовому відділу сільської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відповідні зміни до показників бюджету сільської територіальної громади на 2022 рік з послідуючим затвердженням на сесії.</w:t>
      </w:r>
    </w:p>
    <w:p w14:paraId="392E431A" w14:textId="77777777" w:rsidR="00C00159" w:rsidRDefault="00C00159" w:rsidP="00C00159">
      <w:pPr>
        <w:tabs>
          <w:tab w:val="left" w:pos="1050"/>
        </w:tabs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598D21E" w14:textId="65AED1CB" w:rsidR="008B660F" w:rsidRPr="00816F83" w:rsidRDefault="00C00159" w:rsidP="00816F83">
      <w:pPr>
        <w:tabs>
          <w:tab w:val="left" w:pos="1050"/>
        </w:tabs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Сільський голова                                      Віктор КОТЕНКО</w:t>
      </w:r>
    </w:p>
    <w:sectPr w:rsidR="008B660F" w:rsidRPr="00816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875424"/>
    <w:multiLevelType w:val="hybridMultilevel"/>
    <w:tmpl w:val="C3A2A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AE2"/>
    <w:rsid w:val="00816F83"/>
    <w:rsid w:val="008B660F"/>
    <w:rsid w:val="00956B10"/>
    <w:rsid w:val="00A9476E"/>
    <w:rsid w:val="00C00159"/>
    <w:rsid w:val="00C12AE2"/>
    <w:rsid w:val="00E9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3999C"/>
  <w15:chartTrackingRefBased/>
  <w15:docId w15:val="{A594B041-5AA9-42D7-AABA-E214237DA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0015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01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001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6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11</cp:revision>
  <cp:lastPrinted>2022-01-24T07:00:00Z</cp:lastPrinted>
  <dcterms:created xsi:type="dcterms:W3CDTF">2022-01-20T12:53:00Z</dcterms:created>
  <dcterms:modified xsi:type="dcterms:W3CDTF">2022-01-26T12:36:00Z</dcterms:modified>
</cp:coreProperties>
</file>