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38B" w:rsidRPr="00D06A89" w:rsidRDefault="00EA138B" w:rsidP="00EA138B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26"/>
          <w:szCs w:val="26"/>
          <w:lang w:val="uk-UA" w:eastAsia="ar-SA"/>
        </w:rPr>
      </w:pPr>
      <w:r w:rsidRPr="00D06A89">
        <w:rPr>
          <w:rFonts w:ascii="Times New Roman" w:eastAsia="SimSun" w:hAnsi="Times New Roman" w:cs="Times New Roman"/>
          <w:noProof/>
          <w:kern w:val="2"/>
          <w:sz w:val="26"/>
          <w:szCs w:val="26"/>
          <w:lang w:val="uk-UA" w:eastAsia="uk-UA"/>
        </w:rPr>
        <w:drawing>
          <wp:inline distT="0" distB="0" distL="0" distR="0" wp14:anchorId="54C2869B" wp14:editId="45B2D2DB">
            <wp:extent cx="552450" cy="714375"/>
            <wp:effectExtent l="19050" t="0" r="0" b="0"/>
            <wp:docPr id="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38B" w:rsidRPr="00D06A89" w:rsidRDefault="00EA138B" w:rsidP="00EA138B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eastAsia="ar-SA"/>
        </w:rPr>
      </w:pPr>
      <w:r w:rsidRPr="00D06A89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eastAsia="ar-SA"/>
        </w:rPr>
        <w:t>У К Р А Ї Н А</w:t>
      </w:r>
    </w:p>
    <w:p w:rsidR="00EA138B" w:rsidRPr="00D06A89" w:rsidRDefault="00EA138B" w:rsidP="00EA138B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eastAsia="ar-SA"/>
        </w:rPr>
      </w:pPr>
      <w:r w:rsidRPr="00D06A89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eastAsia="ar-SA"/>
        </w:rPr>
        <w:t>СЕРГІЇВСЬКА СЕЛИЩНА РАДА</w:t>
      </w:r>
    </w:p>
    <w:p w:rsidR="00EA138B" w:rsidRPr="00D06A89" w:rsidRDefault="00EA138B" w:rsidP="00EA138B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val="uk-UA" w:eastAsia="ar-SA"/>
        </w:rPr>
      </w:pPr>
      <w:r w:rsidRPr="00D06A89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eastAsia="ar-SA"/>
        </w:rPr>
        <w:t>БІЛГОРОД-ДНІСТРОВСЬКОГО РАЙОНУ ОДЕСЬКОЇ ОБЛАСТІ</w:t>
      </w:r>
    </w:p>
    <w:p w:rsidR="00EA138B" w:rsidRPr="00D06A89" w:rsidRDefault="00EA138B" w:rsidP="00EA138B">
      <w:pPr>
        <w:tabs>
          <w:tab w:val="left" w:pos="900"/>
        </w:tabs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</w:p>
    <w:p w:rsidR="00EA138B" w:rsidRPr="00D06A89" w:rsidRDefault="00EA138B" w:rsidP="00EA138B">
      <w:pPr>
        <w:tabs>
          <w:tab w:val="left" w:pos="900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D06A8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В И К О Н А В Ч </w:t>
      </w:r>
      <w:proofErr w:type="gramStart"/>
      <w:r w:rsidRPr="00D06A8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 Й</w:t>
      </w:r>
      <w:proofErr w:type="gramEnd"/>
      <w:r w:rsidRPr="00D06A8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DB0BA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06A8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 О М І Т Е Т</w:t>
      </w:r>
    </w:p>
    <w:p w:rsidR="00EA138B" w:rsidRPr="00D06A89" w:rsidRDefault="00EA138B" w:rsidP="00EA138B">
      <w:pPr>
        <w:tabs>
          <w:tab w:val="center" w:pos="4677"/>
          <w:tab w:val="right" w:pos="9355"/>
        </w:tabs>
        <w:spacing w:after="0" w:line="240" w:lineRule="auto"/>
        <w:rPr>
          <w:rFonts w:ascii="Calibri" w:eastAsia="Times New Roman" w:hAnsi="Calibri" w:cs="Times New Roman"/>
          <w:sz w:val="28"/>
          <w:szCs w:val="28"/>
          <w:lang w:val="uk-UA" w:eastAsia="ru-RU"/>
        </w:rPr>
      </w:pPr>
    </w:p>
    <w:p w:rsidR="00EA138B" w:rsidRPr="00D06A89" w:rsidRDefault="00EA138B" w:rsidP="00EA138B">
      <w:pPr>
        <w:tabs>
          <w:tab w:val="left" w:pos="900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</w:pPr>
      <w:r w:rsidRPr="00D06A8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ПРОЕКТ  </w:t>
      </w:r>
      <w:r w:rsidRPr="00D06A8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D06A8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D06A8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EA138B" w:rsidRPr="00D06A89" w:rsidRDefault="00EA138B" w:rsidP="00EA138B">
      <w:pPr>
        <w:tabs>
          <w:tab w:val="left" w:pos="900"/>
        </w:tabs>
        <w:spacing w:after="0" w:line="240" w:lineRule="auto"/>
        <w:jc w:val="center"/>
        <w:rPr>
          <w:rFonts w:eastAsiaTheme="minorEastAsia" w:cs="Times New Roman"/>
          <w:lang w:val="uk-UA" w:eastAsia="ru-RU"/>
        </w:rPr>
      </w:pPr>
    </w:p>
    <w:p w:rsidR="00EA138B" w:rsidRPr="006C6616" w:rsidRDefault="00EA138B" w:rsidP="00EA138B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val="uk-UA" w:eastAsia="ru-RU"/>
        </w:rPr>
      </w:pPr>
      <w:r w:rsidRPr="00D06A8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від</w:t>
      </w:r>
      <w:r w:rsidR="006C6616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EF0A2C">
        <w:rPr>
          <w:rFonts w:ascii="Times New Roman" w:eastAsiaTheme="minorEastAsia" w:hAnsi="Times New Roman" w:cs="Times New Roman"/>
          <w:bCs/>
          <w:sz w:val="24"/>
          <w:szCs w:val="24"/>
          <w:u w:val="single"/>
          <w:lang w:val="uk-UA" w:eastAsia="ru-RU"/>
        </w:rPr>
        <w:t xml:space="preserve">        </w:t>
      </w:r>
      <w:r w:rsidR="006C6616">
        <w:rPr>
          <w:rFonts w:ascii="Times New Roman" w:eastAsiaTheme="minorEastAsia" w:hAnsi="Times New Roman" w:cs="Times New Roman"/>
          <w:bCs/>
          <w:sz w:val="24"/>
          <w:szCs w:val="24"/>
          <w:u w:val="single"/>
          <w:lang w:val="uk-UA" w:eastAsia="ru-RU"/>
        </w:rPr>
        <w:t>07</w:t>
      </w:r>
      <w:r w:rsidR="006C6616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>.</w:t>
      </w:r>
      <w:r w:rsidR="006C6616">
        <w:rPr>
          <w:rFonts w:ascii="Times New Roman" w:eastAsiaTheme="minorEastAsia" w:hAnsi="Times New Roman" w:cs="Times New Roman"/>
          <w:bCs/>
          <w:sz w:val="24"/>
          <w:szCs w:val="24"/>
          <w:u w:val="single"/>
          <w:lang w:val="uk-UA" w:eastAsia="ru-RU"/>
        </w:rPr>
        <w:t>2021</w:t>
      </w:r>
      <w:r w:rsidRPr="00D06A8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р.                                   смт. </w:t>
      </w:r>
      <w:proofErr w:type="spellStart"/>
      <w:r w:rsidRPr="00D06A8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Сергіївка</w:t>
      </w:r>
      <w:proofErr w:type="spellEnd"/>
      <w:r w:rsidRPr="00D06A8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             </w:t>
      </w:r>
      <w:r w:rsidR="006C6616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                    №  </w:t>
      </w:r>
    </w:p>
    <w:p w:rsidR="00EF0A2C" w:rsidRDefault="00EF0A2C" w:rsidP="00EF0A2C">
      <w:pPr>
        <w:pStyle w:val="a3"/>
        <w:ind w:right="453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F0A2C" w:rsidRDefault="00EF0A2C" w:rsidP="00EF0A2C">
      <w:pPr>
        <w:pStyle w:val="a3"/>
        <w:ind w:right="453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погодження вартості </w:t>
      </w:r>
      <w:r w:rsidR="009C5E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харчування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 організації  харчування дітей   в закладах освіти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Білгород-Дністровського району Одеської області  на 2021-2022 навчальний рік</w:t>
      </w:r>
    </w:p>
    <w:p w:rsidR="00EF0A2C" w:rsidRDefault="00EF0A2C" w:rsidP="00EF0A2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0A2C" w:rsidRDefault="00EF0A2C" w:rsidP="00EF0A2C">
      <w:pPr>
        <w:pStyle w:val="4"/>
        <w:spacing w:before="0" w:line="295" w:lineRule="atLeast"/>
        <w:jc w:val="both"/>
        <w:rPr>
          <w:rFonts w:ascii="Times New Roman" w:eastAsia="Times New Roman" w:hAnsi="Times New Roman" w:cs="Times New Roman"/>
          <w:i w:val="0"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i w:val="0"/>
          <w:color w:val="auto"/>
          <w:sz w:val="24"/>
          <w:szCs w:val="24"/>
          <w:lang w:val="uk-UA"/>
        </w:rPr>
        <w:t>Керуючись ст. 32 Закону України «Про місцеве самоврядування в Україні», на виконання ст.56 Закону України «Про освіту», ст.35 Закону України «Про дошкільну освіту», ст.10 Закону України «Про статус ветеранів війни, гарантії їх соціального захисту», згідно зі  ч.10 ст. 7 Закону України</w:t>
      </w:r>
      <w:r>
        <w:rPr>
          <w:rFonts w:ascii="Times New Roman" w:hAnsi="Times New Roman" w:cs="Times New Roman"/>
          <w:i w:val="0"/>
          <w:color w:val="auto"/>
          <w:sz w:val="24"/>
          <w:szCs w:val="24"/>
        </w:rPr>
        <w:t>  </w:t>
      </w:r>
      <w:r>
        <w:rPr>
          <w:rFonts w:ascii="Times New Roman" w:hAnsi="Times New Roman" w:cs="Times New Roman"/>
          <w:i w:val="0"/>
          <w:color w:val="auto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bCs/>
          <w:i w:val="0"/>
          <w:color w:val="auto"/>
          <w:sz w:val="24"/>
          <w:szCs w:val="24"/>
          <w:lang w:val="uk-UA"/>
        </w:rPr>
        <w:t xml:space="preserve">Про забезпечення прав і свобод внутрішньо переміщених осіб», Закону України «Про внесення змін до деяких законів України щодо забезпечення безкоштовним харчуванням дітей внутрішньо переміщених осіб», </w:t>
      </w:r>
      <w:r>
        <w:rPr>
          <w:rFonts w:ascii="Times New Roman" w:hAnsi="Times New Roman" w:cs="Times New Roman"/>
          <w:i w:val="0"/>
          <w:color w:val="auto"/>
          <w:sz w:val="24"/>
          <w:szCs w:val="24"/>
          <w:lang w:val="uk-UA"/>
        </w:rPr>
        <w:t xml:space="preserve"> ст.10 Закону України  «Про статус ветеранів війни,  гарантії їх соціального захисту», відповідно до </w:t>
      </w:r>
      <w:r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  <w:lang w:val="uk-UA"/>
        </w:rPr>
        <w:t xml:space="preserve">постанови  Кабінету Міністрів України  від 24 березня 2021 р. № </w:t>
      </w:r>
      <w:bookmarkStart w:id="0" w:name="n11"/>
      <w:bookmarkEnd w:id="0"/>
      <w:r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  <w:lang w:val="uk-UA"/>
        </w:rPr>
        <w:t xml:space="preserve">305 «Про затвердження норм та Порядку організації  харчування у  закладах освіти та дитячих закладах оздоровлення та відпочинку», </w:t>
      </w:r>
      <w:r>
        <w:rPr>
          <w:rFonts w:ascii="Times New Roman" w:hAnsi="Times New Roman" w:cs="Times New Roman"/>
          <w:i w:val="0"/>
          <w:color w:val="auto"/>
          <w:sz w:val="24"/>
          <w:szCs w:val="24"/>
          <w:lang w:val="uk-UA"/>
        </w:rPr>
        <w:t xml:space="preserve"> «Про внесення змін до Порядку  встановлення плати для батьків за перебування дітей у державних і комунальних дошкільних та інтернатних навчальних закладах», затвердженого наказом Міністерства освіти і науки України від 25.07.2005 року № 431 (зі змінами), з метою забезпечення дітей в закладах освіти повноцінним збалансованим  харчуванням,  виконавчий комітет </w:t>
      </w:r>
      <w:proofErr w:type="spellStart"/>
      <w:r>
        <w:rPr>
          <w:rFonts w:ascii="Times New Roman" w:eastAsia="Times New Roman" w:hAnsi="Times New Roman" w:cs="Times New Roman"/>
          <w:i w:val="0"/>
          <w:color w:val="auto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eastAsia="Times New Roman" w:hAnsi="Times New Roman" w:cs="Times New Roman"/>
          <w:i w:val="0"/>
          <w:color w:val="auto"/>
          <w:sz w:val="24"/>
          <w:szCs w:val="24"/>
          <w:lang w:val="uk-UA"/>
        </w:rPr>
        <w:t xml:space="preserve">  селищної  рада </w:t>
      </w:r>
    </w:p>
    <w:p w:rsidR="00EF0A2C" w:rsidRPr="00EF0A2C" w:rsidRDefault="00EF0A2C" w:rsidP="00EF0A2C">
      <w:pPr>
        <w:rPr>
          <w:lang w:val="uk-UA" w:eastAsia="ru-RU"/>
        </w:rPr>
      </w:pPr>
    </w:p>
    <w:p w:rsidR="00EF0A2C" w:rsidRDefault="00EF0A2C" w:rsidP="00EF0A2C">
      <w:pPr>
        <w:pStyle w:val="a3"/>
        <w:spacing w:line="276" w:lineRule="auto"/>
        <w:ind w:right="-143" w:firstLine="284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В И Р І Ш И В:</w:t>
      </w:r>
    </w:p>
    <w:p w:rsidR="00EF0A2C" w:rsidRDefault="00EF0A2C" w:rsidP="00EF0A2C">
      <w:pPr>
        <w:pStyle w:val="a3"/>
        <w:spacing w:line="276" w:lineRule="auto"/>
        <w:ind w:right="-143" w:firstLine="284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</w:p>
    <w:p w:rsidR="00EF0A2C" w:rsidRDefault="00077A48" w:rsidP="00EF0A2C">
      <w:pPr>
        <w:pStyle w:val="a3"/>
        <w:numPr>
          <w:ilvl w:val="0"/>
          <w:numId w:val="7"/>
        </w:numPr>
        <w:spacing w:line="276" w:lineRule="auto"/>
        <w:ind w:left="0" w:right="-143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Погодити </w:t>
      </w:r>
      <w:r w:rsidR="00EF0A2C">
        <w:rPr>
          <w:rFonts w:ascii="Times New Roman" w:hAnsi="Times New Roman" w:cs="Times New Roman"/>
          <w:sz w:val="24"/>
          <w:szCs w:val="24"/>
          <w:lang w:val="uk-UA"/>
        </w:rPr>
        <w:t xml:space="preserve">вартість харчування на одну  дитину в день  на 2021-2022 навчальний рік в закладах дошкільної освіти та дошкільних структурних підрозділах  </w:t>
      </w:r>
      <w:proofErr w:type="spellStart"/>
      <w:r w:rsidR="00EF0A2C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="00EF0A2C">
        <w:rPr>
          <w:rFonts w:ascii="Times New Roman" w:hAnsi="Times New Roman" w:cs="Times New Roman"/>
          <w:sz w:val="24"/>
          <w:szCs w:val="24"/>
          <w:lang w:val="uk-UA"/>
        </w:rPr>
        <w:t xml:space="preserve"> селищної  ради в розмірі 45,00грн в день  відповідно меню на день та цін на продукти харчування. </w:t>
      </w:r>
    </w:p>
    <w:p w:rsidR="00EF0A2C" w:rsidRDefault="00EF0A2C" w:rsidP="00EF0A2C">
      <w:pPr>
        <w:pStyle w:val="a3"/>
        <w:numPr>
          <w:ilvl w:val="0"/>
          <w:numId w:val="7"/>
        </w:numPr>
        <w:spacing w:line="276" w:lineRule="auto"/>
        <w:ind w:left="0" w:right="-143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077A48">
        <w:rPr>
          <w:rFonts w:ascii="Times New Roman" w:hAnsi="Times New Roman" w:cs="Times New Roman"/>
          <w:sz w:val="24"/>
          <w:szCs w:val="24"/>
          <w:lang w:val="uk-UA"/>
        </w:rPr>
        <w:t xml:space="preserve">Погодити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вартість  та здійснювати видатки з селищного бюджету  на  харчування дітей 1-4-х класів  та 5-11 класів (пільговий контингент) на одну  дитину в день  на 2021-2022 навчальний рік ( з врахуванням проведення пришкільних таборів відпочинку) в закладах загальної середньої освіти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 ради   в розмірі 35,00 грн в день відповідно  меню на день та цін на продукти харчування.</w:t>
      </w:r>
    </w:p>
    <w:p w:rsidR="00EF0A2C" w:rsidRDefault="00EF0A2C" w:rsidP="00EF0A2C">
      <w:pPr>
        <w:pStyle w:val="a3"/>
        <w:numPr>
          <w:ilvl w:val="0"/>
          <w:numId w:val="7"/>
        </w:numPr>
        <w:spacing w:line="276" w:lineRule="auto"/>
        <w:ind w:left="0" w:right="-143" w:firstLine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Рішення сесії селищної ради від11.02.2021 р. №110 «</w:t>
      </w:r>
      <w:r w:rsidRPr="00A77380">
        <w:rPr>
          <w:rFonts w:ascii="Times New Roman" w:hAnsi="Times New Roman" w:cs="Times New Roman"/>
          <w:sz w:val="24"/>
          <w:szCs w:val="24"/>
          <w:lang w:val="uk-UA"/>
        </w:rPr>
        <w:t xml:space="preserve">Про організацію  харчування дітей   в закладах освіти </w:t>
      </w:r>
      <w:proofErr w:type="spellStart"/>
      <w:r w:rsidRPr="00A77380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Pr="00A7738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Білгород-Дністровського району Одеської області  на 2021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року» та рішення сесії селищної ради від 04.03.2021 р. №152 « Про внесення змін та доповнень до 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від 11.02.2021 р. №110»вважати такими що втратили чинність.</w:t>
      </w:r>
    </w:p>
    <w:p w:rsidR="00EF0A2C" w:rsidRDefault="00EF0A2C" w:rsidP="00EF0A2C">
      <w:pPr>
        <w:pStyle w:val="a3"/>
        <w:spacing w:line="276" w:lineRule="auto"/>
        <w:ind w:right="-143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4. Визначити, що розмір плати батьків, або осіб, які їх замінюють, за харчування дітей, які  перебувають у комунальних закладах дошкільної освіти та дошкільних структурних підрозділах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 ради  на 2021-2022 навчальний рік встановлюється:</w:t>
      </w:r>
    </w:p>
    <w:p w:rsidR="00EF0A2C" w:rsidRDefault="00EF0A2C" w:rsidP="00EF0A2C">
      <w:pPr>
        <w:pStyle w:val="a3"/>
        <w:spacing w:line="276" w:lineRule="auto"/>
        <w:ind w:right="-143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4.1.Для дітей, які зареєстровані та постійно проживають на території громади у розмірі 40 відсотків від вартості харчування.</w:t>
      </w:r>
    </w:p>
    <w:p w:rsidR="00EF0A2C" w:rsidRDefault="00EF0A2C" w:rsidP="00EF0A2C">
      <w:pPr>
        <w:pStyle w:val="a3"/>
        <w:spacing w:line="276" w:lineRule="auto"/>
        <w:ind w:right="-143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4.2.Для дітей з сімей, які належать до інших територіальних громад, встановити батьківську плату за харчування згідно з п.1 даного рішення. У випадку укладання угоди про здійснення міжбюджетних трансфертів між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Сергіївською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селищною  радою та іншими об’єднаними територіальними громадами чи органами місцевого самоврядування встановити батьківську плату за харчування відповідно до п. </w:t>
      </w:r>
      <w:r w:rsidR="008F0D8B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>.1.  даного рішення.</w:t>
      </w:r>
    </w:p>
    <w:p w:rsidR="00EF0A2C" w:rsidRDefault="00EF0A2C" w:rsidP="00EF0A2C">
      <w:pPr>
        <w:pStyle w:val="a3"/>
        <w:spacing w:line="276" w:lineRule="auto"/>
        <w:ind w:right="-143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8F0D8B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літній оздоровчий період (з 01 червня по 31 серпня) збільшити  плату за харчування дітей в закладах дошкільної освіти та дошкільних структурних підрозділах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 ради на  15 відсотків.</w:t>
      </w:r>
    </w:p>
    <w:p w:rsidR="00EF0A2C" w:rsidRDefault="00EF0A2C" w:rsidP="00EF0A2C">
      <w:pPr>
        <w:pStyle w:val="a3"/>
        <w:spacing w:line="276" w:lineRule="auto"/>
        <w:ind w:right="-143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 Оплата здійснюється лише за дні відвідування дитиною закладу дошкільної освіти та дошкільного структурного підрозділу. Плата вноситься не пізніше 10-го числа поточного місяця.</w:t>
      </w:r>
    </w:p>
    <w:p w:rsidR="00EF0A2C" w:rsidRDefault="00EF0A2C" w:rsidP="00EF0A2C">
      <w:pPr>
        <w:pStyle w:val="a3"/>
        <w:spacing w:line="276" w:lineRule="auto"/>
        <w:ind w:right="-143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6.Директорам закладів дошкільної освіти та відповідальному за роботу дошкільного структурного підрозділу дотримуватися встановленої норми вартості харчування однієї дитини за одне відвідування в день.</w:t>
      </w:r>
    </w:p>
    <w:p w:rsidR="00EF0A2C" w:rsidRDefault="00EF0A2C" w:rsidP="00EF0A2C">
      <w:pPr>
        <w:pStyle w:val="a3"/>
        <w:spacing w:line="276" w:lineRule="auto"/>
        <w:ind w:right="-143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7. Затвердити пільги для батьків, що зареєстровані або постійно проживають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або один із батьків працює на підприємстві, що зареєстроване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ради,  за перебування дітей у закладах дошкільної освіти та дошкільному структурному підрозділі дітей,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які навчаються у спеціальних і інклюзивних класах, та учнів 5-11 класів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закладів загальної середньої освіти в наступних розмірах: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9"/>
        <w:gridCol w:w="7199"/>
        <w:gridCol w:w="1417"/>
      </w:tblGrid>
      <w:tr w:rsidR="00EF0A2C" w:rsidTr="006944A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з\п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Пільгова категорія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Відсоток</w:t>
            </w:r>
          </w:p>
          <w:p w:rsidR="00EF0A2C" w:rsidRDefault="00EF0A2C" w:rsidP="006944A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пільги</w:t>
            </w:r>
          </w:p>
        </w:tc>
      </w:tr>
      <w:tr w:rsidR="00EF0A2C" w:rsidTr="006944A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Багатодітні сім’ї, які виховують п’ять і більше дітей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100%</w:t>
            </w:r>
          </w:p>
        </w:tc>
      </w:tr>
      <w:tr w:rsidR="00EF0A2C" w:rsidTr="006944A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Сім’ї, в яких сукупний дохід на кожного члена за попередній квартал не перевищував рівня забезпечення прожиткового мінімуму (гарантованого мінімуму)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100%</w:t>
            </w:r>
          </w:p>
        </w:tc>
      </w:tr>
      <w:tr w:rsidR="00EF0A2C" w:rsidTr="006944A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Діти-сироти та діти, позбавлені батьківського піклування, які перебувають під опікою і виховуються в сім’ях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100%</w:t>
            </w:r>
          </w:p>
        </w:tc>
      </w:tr>
      <w:tr w:rsidR="00EF0A2C" w:rsidTr="006944A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Діти, які мають статус дитини з інвалідністю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100%</w:t>
            </w:r>
          </w:p>
        </w:tc>
      </w:tr>
      <w:tr w:rsidR="00EF0A2C" w:rsidTr="006944A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5.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Діти внутрішньо переміщених осіб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100%</w:t>
            </w:r>
          </w:p>
        </w:tc>
      </w:tr>
      <w:tr w:rsidR="00EF0A2C" w:rsidTr="006944A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Багатодітні сім’ї, які виховують 3-4 дітей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50%</w:t>
            </w:r>
          </w:p>
        </w:tc>
      </w:tr>
      <w:tr w:rsidR="00EF0A2C" w:rsidTr="006944A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Батьки і діти, потерпілі від наслідків аварії на Чорнобильській АЕС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50%</w:t>
            </w:r>
          </w:p>
        </w:tc>
      </w:tr>
      <w:tr w:rsidR="00EF0A2C" w:rsidTr="006944A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8.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Діти, батьки яких брали участь в бойових діях та антитерористичних операціях, інвалідам війни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50%</w:t>
            </w:r>
          </w:p>
        </w:tc>
      </w:tr>
      <w:tr w:rsidR="00EF0A2C" w:rsidTr="006944A9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/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2C" w:rsidRDefault="00EF0A2C" w:rsidP="006944A9"/>
        </w:tc>
      </w:tr>
    </w:tbl>
    <w:p w:rsidR="00EF0A2C" w:rsidRDefault="00EF0A2C" w:rsidP="00EF0A2C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0A2C" w:rsidRPr="003B0F1C" w:rsidRDefault="00EF0A2C" w:rsidP="00FA7AC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8. Зобов’язати керівників закладів освіти 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вести облік та контроль пільгового контингенту, що відвідує заклад освіти,  приймати заяви про звільнення або зменшення розміру  батьківської плати при зверненні громадян</w:t>
      </w:r>
      <w:r w:rsidR="003B0F1C" w:rsidRPr="003B0F1C">
        <w:rPr>
          <w:rFonts w:ascii="Times New Roman" w:hAnsi="Times New Roman" w:cs="Times New Roman"/>
          <w:sz w:val="24"/>
          <w:szCs w:val="24"/>
          <w:lang w:val="uk-UA"/>
        </w:rPr>
        <w:t>.</w:t>
      </w:r>
      <w:bookmarkStart w:id="1" w:name="_GoBack"/>
      <w:bookmarkEnd w:id="1"/>
    </w:p>
    <w:p w:rsidR="00EF0A2C" w:rsidRDefault="00EF0A2C" w:rsidP="00FA7ACA">
      <w:pPr>
        <w:tabs>
          <w:tab w:val="left" w:pos="900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9. Відділу  освіти, культури,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</w:t>
      </w:r>
      <w:r w:rsidR="0006553B">
        <w:rPr>
          <w:rFonts w:ascii="Times New Roman" w:hAnsi="Times New Roman" w:cs="Times New Roman"/>
          <w:sz w:val="24"/>
          <w:szCs w:val="24"/>
          <w:lang w:val="uk-UA"/>
        </w:rPr>
        <w:t>винести на розгляд сес</w:t>
      </w:r>
      <w:r w:rsidR="00FB4975">
        <w:rPr>
          <w:rFonts w:ascii="Times New Roman" w:hAnsi="Times New Roman" w:cs="Times New Roman"/>
          <w:sz w:val="24"/>
          <w:szCs w:val="24"/>
          <w:lang w:val="uk-UA"/>
        </w:rPr>
        <w:t>ії селищної ради проект рішення «</w:t>
      </w:r>
      <w:r w:rsidR="009C5E87" w:rsidRPr="009C5E87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вартості харчування та  організацію  харчування дітей   в закладах освіти </w:t>
      </w:r>
      <w:proofErr w:type="spellStart"/>
      <w:r w:rsidR="009C5E87" w:rsidRPr="009C5E87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="009C5E87" w:rsidRPr="009C5E87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Білгород-Дністровського району Одеської області  на 2021-2022 навчальний рік</w:t>
      </w:r>
      <w:r w:rsidR="009C5E87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E97D8F" w:rsidRPr="00E97D8F" w:rsidRDefault="00E97D8F" w:rsidP="00FA7ACA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10.</w:t>
      </w:r>
      <w:r w:rsidRPr="00E97D8F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заступника  селищного голови з питань діяльності виконавчих органів ради.</w:t>
      </w:r>
    </w:p>
    <w:p w:rsidR="00EF0A2C" w:rsidRDefault="00EF0A2C" w:rsidP="00EF0A2C">
      <w:pPr>
        <w:spacing w:after="0"/>
        <w:ind w:firstLine="284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EF0A2C" w:rsidRDefault="00EF0A2C" w:rsidP="00EF0A2C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EF0A2C" w:rsidRPr="00CA7318" w:rsidRDefault="00EF0A2C" w:rsidP="00EF0A2C">
      <w:pPr>
        <w:pStyle w:val="a3"/>
        <w:rPr>
          <w:rFonts w:ascii="Times New Roman" w:hAnsi="Times New Roman" w:cs="Times New Roman"/>
          <w:lang w:val="uk-UA"/>
        </w:rPr>
      </w:pPr>
      <w:r w:rsidRPr="00CA7318">
        <w:rPr>
          <w:rFonts w:ascii="Times New Roman" w:hAnsi="Times New Roman" w:cs="Times New Roman"/>
          <w:lang w:val="uk-UA"/>
        </w:rPr>
        <w:t>Проект рішення підготовлено</w:t>
      </w:r>
    </w:p>
    <w:p w:rsidR="00EF0A2C" w:rsidRPr="00CA7318" w:rsidRDefault="00EF0A2C" w:rsidP="00EF0A2C">
      <w:pPr>
        <w:pStyle w:val="a3"/>
        <w:rPr>
          <w:rFonts w:ascii="Times New Roman" w:hAnsi="Times New Roman" w:cs="Times New Roman"/>
          <w:lang w:val="uk-UA"/>
        </w:rPr>
      </w:pPr>
      <w:r w:rsidRPr="00CA7318">
        <w:rPr>
          <w:rFonts w:ascii="Times New Roman" w:hAnsi="Times New Roman" w:cs="Times New Roman"/>
          <w:lang w:val="uk-UA"/>
        </w:rPr>
        <w:t>відділом освіти, культури, молоді та спорту</w:t>
      </w:r>
    </w:p>
    <w:p w:rsidR="00EF0A2C" w:rsidRPr="00CA7318" w:rsidRDefault="00EF0A2C" w:rsidP="00EF0A2C">
      <w:pPr>
        <w:rPr>
          <w:rFonts w:ascii="Times New Roman" w:eastAsia="Calibri" w:hAnsi="Times New Roman" w:cs="Times New Roman"/>
          <w:b/>
          <w:lang w:val="uk-UA"/>
        </w:rPr>
      </w:pPr>
    </w:p>
    <w:p w:rsidR="00EF0A2C" w:rsidRDefault="00EF0A2C" w:rsidP="00EF0A2C">
      <w:pPr>
        <w:rPr>
          <w:rFonts w:ascii="Times New Roman" w:eastAsia="Calibri" w:hAnsi="Times New Roman" w:cs="Times New Roman"/>
          <w:b/>
          <w:sz w:val="24"/>
          <w:szCs w:val="20"/>
          <w:lang w:val="uk-UA"/>
        </w:rPr>
      </w:pPr>
    </w:p>
    <w:p w:rsidR="00EF0A2C" w:rsidRDefault="00EF0A2C" w:rsidP="00EF0A2C">
      <w:pPr>
        <w:rPr>
          <w:rFonts w:ascii="Times New Roman" w:eastAsia="Calibri" w:hAnsi="Times New Roman" w:cs="Times New Roman"/>
          <w:b/>
          <w:sz w:val="24"/>
          <w:szCs w:val="20"/>
          <w:lang w:val="uk-UA"/>
        </w:rPr>
      </w:pPr>
    </w:p>
    <w:p w:rsidR="00EF0A2C" w:rsidRDefault="00EF0A2C" w:rsidP="00EF0A2C">
      <w:pPr>
        <w:rPr>
          <w:lang w:val="uk-UA"/>
        </w:rPr>
      </w:pPr>
    </w:p>
    <w:p w:rsidR="00141795" w:rsidRPr="00141795" w:rsidRDefault="00141795" w:rsidP="00141795">
      <w:pP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sectPr w:rsidR="00141795" w:rsidRPr="00141795" w:rsidSect="00A7343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31B4F"/>
    <w:multiLevelType w:val="hybridMultilevel"/>
    <w:tmpl w:val="C0F03FFE"/>
    <w:lvl w:ilvl="0" w:tplc="37ECB0F8">
      <w:start w:val="1"/>
      <w:numFmt w:val="decimal"/>
      <w:lvlText w:val="%1."/>
      <w:lvlJc w:val="left"/>
      <w:pPr>
        <w:ind w:left="809" w:hanging="52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34829A1"/>
    <w:multiLevelType w:val="multilevel"/>
    <w:tmpl w:val="60AADD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7B4D29"/>
    <w:multiLevelType w:val="hybridMultilevel"/>
    <w:tmpl w:val="3FEEF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57659"/>
    <w:multiLevelType w:val="hybridMultilevel"/>
    <w:tmpl w:val="8214A5A2"/>
    <w:lvl w:ilvl="0" w:tplc="D2C670E6">
      <w:start w:val="22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8C3084"/>
    <w:multiLevelType w:val="hybridMultilevel"/>
    <w:tmpl w:val="DDA0ED2E"/>
    <w:lvl w:ilvl="0" w:tplc="1B34DDF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1B6499C"/>
    <w:multiLevelType w:val="hybridMultilevel"/>
    <w:tmpl w:val="450C41EC"/>
    <w:lvl w:ilvl="0" w:tplc="0419000F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62583"/>
    <w:multiLevelType w:val="hybridMultilevel"/>
    <w:tmpl w:val="461609D2"/>
    <w:lvl w:ilvl="0" w:tplc="2B90C1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724"/>
    <w:rsid w:val="000006C4"/>
    <w:rsid w:val="0006553B"/>
    <w:rsid w:val="000715E9"/>
    <w:rsid w:val="00075548"/>
    <w:rsid w:val="00077A48"/>
    <w:rsid w:val="00085101"/>
    <w:rsid w:val="00097746"/>
    <w:rsid w:val="00141795"/>
    <w:rsid w:val="00147193"/>
    <w:rsid w:val="00187235"/>
    <w:rsid w:val="001F6060"/>
    <w:rsid w:val="00240721"/>
    <w:rsid w:val="0024213D"/>
    <w:rsid w:val="002670D8"/>
    <w:rsid w:val="002A0B36"/>
    <w:rsid w:val="002E659F"/>
    <w:rsid w:val="00303661"/>
    <w:rsid w:val="00340ED9"/>
    <w:rsid w:val="003766C5"/>
    <w:rsid w:val="00385677"/>
    <w:rsid w:val="003A5D9F"/>
    <w:rsid w:val="003B0F1C"/>
    <w:rsid w:val="003D5CE3"/>
    <w:rsid w:val="00465724"/>
    <w:rsid w:val="004672E5"/>
    <w:rsid w:val="0047799C"/>
    <w:rsid w:val="0049655C"/>
    <w:rsid w:val="004C4BC3"/>
    <w:rsid w:val="00531DC6"/>
    <w:rsid w:val="00536F9F"/>
    <w:rsid w:val="00566ED5"/>
    <w:rsid w:val="005853ED"/>
    <w:rsid w:val="005E40AF"/>
    <w:rsid w:val="00616115"/>
    <w:rsid w:val="00636FD6"/>
    <w:rsid w:val="00684EF3"/>
    <w:rsid w:val="006C6616"/>
    <w:rsid w:val="0070181F"/>
    <w:rsid w:val="00741540"/>
    <w:rsid w:val="0076165D"/>
    <w:rsid w:val="007C62CC"/>
    <w:rsid w:val="007C733F"/>
    <w:rsid w:val="007D05B4"/>
    <w:rsid w:val="00812738"/>
    <w:rsid w:val="00827722"/>
    <w:rsid w:val="00860870"/>
    <w:rsid w:val="00867033"/>
    <w:rsid w:val="00895085"/>
    <w:rsid w:val="008F0D8B"/>
    <w:rsid w:val="00981B59"/>
    <w:rsid w:val="009B7324"/>
    <w:rsid w:val="009C07DB"/>
    <w:rsid w:val="009C5844"/>
    <w:rsid w:val="009C5E87"/>
    <w:rsid w:val="009C721F"/>
    <w:rsid w:val="00A73438"/>
    <w:rsid w:val="00A90EE5"/>
    <w:rsid w:val="00AC3990"/>
    <w:rsid w:val="00AD15EB"/>
    <w:rsid w:val="00B7385D"/>
    <w:rsid w:val="00BA28E5"/>
    <w:rsid w:val="00BC139D"/>
    <w:rsid w:val="00BD175F"/>
    <w:rsid w:val="00BF3E69"/>
    <w:rsid w:val="00C30290"/>
    <w:rsid w:val="00C52E26"/>
    <w:rsid w:val="00CA2E59"/>
    <w:rsid w:val="00CE51B4"/>
    <w:rsid w:val="00D1055D"/>
    <w:rsid w:val="00D13A3B"/>
    <w:rsid w:val="00D15367"/>
    <w:rsid w:val="00D3615C"/>
    <w:rsid w:val="00D41416"/>
    <w:rsid w:val="00D46455"/>
    <w:rsid w:val="00D556E0"/>
    <w:rsid w:val="00D61FB6"/>
    <w:rsid w:val="00D819A6"/>
    <w:rsid w:val="00DB0BA3"/>
    <w:rsid w:val="00DD31FD"/>
    <w:rsid w:val="00DD596D"/>
    <w:rsid w:val="00DE418D"/>
    <w:rsid w:val="00E13D80"/>
    <w:rsid w:val="00E21461"/>
    <w:rsid w:val="00E22BF0"/>
    <w:rsid w:val="00E30777"/>
    <w:rsid w:val="00E73F59"/>
    <w:rsid w:val="00E74B96"/>
    <w:rsid w:val="00E95C04"/>
    <w:rsid w:val="00E97D8F"/>
    <w:rsid w:val="00EA138B"/>
    <w:rsid w:val="00EF0A2C"/>
    <w:rsid w:val="00F03B4B"/>
    <w:rsid w:val="00F718C0"/>
    <w:rsid w:val="00F90B74"/>
    <w:rsid w:val="00FA7ACA"/>
    <w:rsid w:val="00FB4975"/>
    <w:rsid w:val="00FD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D9F"/>
    <w:pPr>
      <w:spacing w:after="200" w:line="276" w:lineRule="auto"/>
    </w:pPr>
  </w:style>
  <w:style w:type="paragraph" w:styleId="4">
    <w:name w:val="heading 4"/>
    <w:basedOn w:val="a"/>
    <w:next w:val="a"/>
    <w:link w:val="40"/>
    <w:uiPriority w:val="9"/>
    <w:unhideWhenUsed/>
    <w:qFormat/>
    <w:rsid w:val="00EF0A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1795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47799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477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2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30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290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EF0A2C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D9F"/>
    <w:pPr>
      <w:spacing w:after="200" w:line="276" w:lineRule="auto"/>
    </w:pPr>
  </w:style>
  <w:style w:type="paragraph" w:styleId="4">
    <w:name w:val="heading 4"/>
    <w:basedOn w:val="a"/>
    <w:next w:val="a"/>
    <w:link w:val="40"/>
    <w:uiPriority w:val="9"/>
    <w:unhideWhenUsed/>
    <w:qFormat/>
    <w:rsid w:val="00EF0A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1795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47799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477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2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30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290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EF0A2C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3</Pages>
  <Words>3840</Words>
  <Characters>2190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Осадчук</dc:creator>
  <cp:keywords/>
  <dc:description/>
  <cp:lastModifiedBy>Legal</cp:lastModifiedBy>
  <cp:revision>92</cp:revision>
  <cp:lastPrinted>2021-07-07T07:27:00Z</cp:lastPrinted>
  <dcterms:created xsi:type="dcterms:W3CDTF">2021-05-16T11:14:00Z</dcterms:created>
  <dcterms:modified xsi:type="dcterms:W3CDTF">2021-07-27T09:09:00Z</dcterms:modified>
</cp:coreProperties>
</file>