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45" w:rsidRDefault="00FB4945" w:rsidP="00FB4945">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extent cx="55245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solidFill>
                      <a:srgbClr val="FFFFFF"/>
                    </a:solidFill>
                    <a:ln>
                      <a:noFill/>
                    </a:ln>
                  </pic:spPr>
                </pic:pic>
              </a:graphicData>
            </a:graphic>
          </wp:inline>
        </w:drawing>
      </w:r>
    </w:p>
    <w:p w:rsidR="00FB4945" w:rsidRDefault="00FB4945" w:rsidP="00FB4945">
      <w:pPr>
        <w:pStyle w:val="1"/>
        <w:spacing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У К Р А Ї Н А</w:t>
      </w:r>
    </w:p>
    <w:p w:rsidR="00FB4945" w:rsidRDefault="00FB4945" w:rsidP="00FB4945">
      <w:pPr>
        <w:pStyle w:val="1"/>
        <w:spacing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СЕРГІЇВСЬКА СЕЛИЩНА РАДА</w:t>
      </w:r>
    </w:p>
    <w:p w:rsidR="00FB4945" w:rsidRDefault="00FB4945" w:rsidP="00FB4945">
      <w:pPr>
        <w:pStyle w:val="1"/>
        <w:spacing w:line="240" w:lineRule="auto"/>
        <w:jc w:val="center"/>
        <w:rPr>
          <w:rFonts w:ascii="Times New Roman" w:hAnsi="Times New Roman" w:cs="Times New Roman"/>
          <w:sz w:val="28"/>
          <w:szCs w:val="28"/>
          <w:lang w:val="uk-UA"/>
        </w:rPr>
      </w:pPr>
      <w:r>
        <w:rPr>
          <w:rFonts w:ascii="Times New Roman" w:hAnsi="Times New Roman" w:cs="Times New Roman"/>
          <w:b/>
          <w:bCs/>
          <w:sz w:val="28"/>
          <w:szCs w:val="28"/>
          <w:lang w:val="uk-UA"/>
        </w:rPr>
        <w:t>БІЛГОРОД-ДНІСТРОВСЬКОГО РАЙОНУ ОДЕСЬКОЇ ОБЛАСТІ</w:t>
      </w:r>
    </w:p>
    <w:p w:rsidR="00FB4945" w:rsidRDefault="00FB4945" w:rsidP="00FB4945">
      <w:pPr>
        <w:pStyle w:val="a4"/>
        <w:rPr>
          <w:rFonts w:cs="Times New Roman"/>
          <w:sz w:val="28"/>
          <w:szCs w:val="28"/>
          <w:lang w:val="uk-UA"/>
        </w:rPr>
      </w:pPr>
    </w:p>
    <w:p w:rsidR="00FB4945" w:rsidRDefault="00FB4945" w:rsidP="00FB4945">
      <w:pPr>
        <w:tabs>
          <w:tab w:val="left" w:pos="900"/>
        </w:tabs>
        <w:jc w:val="center"/>
        <w:rPr>
          <w:rFonts w:ascii="Times New Roman" w:hAnsi="Times New Roman" w:cs="Times New Roman"/>
          <w:b/>
          <w:bCs/>
          <w:sz w:val="28"/>
          <w:szCs w:val="28"/>
          <w:lang w:val="uk-UA"/>
        </w:rPr>
      </w:pPr>
      <w:r>
        <w:rPr>
          <w:rFonts w:ascii="Times New Roman" w:hAnsi="Times New Roman" w:cs="Times New Roman"/>
          <w:b/>
          <w:bCs/>
          <w:lang w:val="uk-UA"/>
        </w:rPr>
        <w:t>П</w:t>
      </w:r>
      <w:r w:rsidRPr="00FB4945">
        <w:rPr>
          <w:rFonts w:ascii="Times New Roman" w:hAnsi="Times New Roman" w:cs="Times New Roman"/>
          <w:b/>
          <w:bCs/>
        </w:rPr>
        <w:t>`</w:t>
      </w:r>
      <w:proofErr w:type="spellStart"/>
      <w:r>
        <w:rPr>
          <w:rFonts w:ascii="Times New Roman" w:hAnsi="Times New Roman" w:cs="Times New Roman"/>
          <w:b/>
          <w:bCs/>
          <w:lang w:val="uk-UA"/>
        </w:rPr>
        <w:t>ятнадцята</w:t>
      </w:r>
      <w:proofErr w:type="spellEnd"/>
      <w:r>
        <w:rPr>
          <w:rFonts w:ascii="Times New Roman" w:hAnsi="Times New Roman" w:cs="Times New Roman"/>
          <w:b/>
          <w:bCs/>
          <w:lang w:val="uk-UA"/>
        </w:rPr>
        <w:t xml:space="preserve">  позачергова </w:t>
      </w:r>
      <w:r>
        <w:rPr>
          <w:rFonts w:ascii="Times New Roman" w:hAnsi="Times New Roman" w:cs="Times New Roman"/>
          <w:b/>
          <w:bCs/>
        </w:rPr>
        <w:t xml:space="preserve"> </w:t>
      </w:r>
      <w:proofErr w:type="spellStart"/>
      <w:r>
        <w:rPr>
          <w:rFonts w:ascii="Times New Roman" w:hAnsi="Times New Roman" w:cs="Times New Roman"/>
          <w:b/>
          <w:bCs/>
        </w:rPr>
        <w:t>сесія</w:t>
      </w:r>
      <w:proofErr w:type="spellEnd"/>
      <w:r>
        <w:rPr>
          <w:rFonts w:ascii="Times New Roman" w:hAnsi="Times New Roman" w:cs="Times New Roman"/>
          <w:b/>
          <w:bCs/>
        </w:rPr>
        <w:t xml:space="preserve">, VIIІ </w:t>
      </w:r>
      <w:proofErr w:type="spellStart"/>
      <w:r>
        <w:rPr>
          <w:rFonts w:ascii="Times New Roman" w:hAnsi="Times New Roman" w:cs="Times New Roman"/>
          <w:b/>
          <w:bCs/>
        </w:rPr>
        <w:t>скликання</w:t>
      </w:r>
      <w:proofErr w:type="spellEnd"/>
    </w:p>
    <w:p w:rsidR="00FB4945" w:rsidRDefault="00FB4945" w:rsidP="00FB4945">
      <w:pPr>
        <w:tabs>
          <w:tab w:val="left" w:pos="900"/>
        </w:tabs>
        <w:jc w:val="center"/>
        <w:rPr>
          <w:rFonts w:ascii="Times New Roman" w:hAnsi="Times New Roman" w:cs="Times New Roman"/>
          <w:b/>
          <w:bCs/>
          <w:sz w:val="36"/>
          <w:szCs w:val="36"/>
          <w:lang w:val="uk-UA"/>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FB4945" w:rsidRDefault="009A4086" w:rsidP="00FB4945">
      <w:pPr>
        <w:spacing w:line="360" w:lineRule="auto"/>
        <w:jc w:val="both"/>
        <w:rPr>
          <w:rFonts w:ascii="Times New Roman" w:hAnsi="Times New Roman" w:cs="Times New Roman"/>
          <w:lang w:val="uk-UA"/>
        </w:rPr>
      </w:pPr>
      <w:r>
        <w:rPr>
          <w:rFonts w:ascii="Times New Roman" w:hAnsi="Times New Roman" w:cs="Times New Roman"/>
          <w:b/>
          <w:bCs/>
          <w:lang w:val="uk-UA"/>
        </w:rPr>
        <w:t>Від</w:t>
      </w:r>
      <w:r w:rsidR="00AF6C31">
        <w:rPr>
          <w:rFonts w:ascii="Times New Roman" w:hAnsi="Times New Roman" w:cs="Times New Roman"/>
          <w:b/>
          <w:bCs/>
          <w:lang w:val="uk-UA"/>
        </w:rPr>
        <w:t xml:space="preserve"> 04.08. </w:t>
      </w:r>
      <w:r w:rsidR="00FB4945">
        <w:rPr>
          <w:rFonts w:ascii="Times New Roman" w:hAnsi="Times New Roman" w:cs="Times New Roman"/>
          <w:b/>
          <w:bCs/>
          <w:lang w:val="uk-UA"/>
        </w:rPr>
        <w:t xml:space="preserve">2021 </w:t>
      </w:r>
      <w:r w:rsidR="00FB4945" w:rsidRPr="00FB4945">
        <w:rPr>
          <w:rFonts w:ascii="Times New Roman" w:hAnsi="Times New Roman" w:cs="Times New Roman"/>
          <w:lang w:val="uk-UA"/>
        </w:rPr>
        <w:t xml:space="preserve">р.                  </w:t>
      </w:r>
      <w:r w:rsidR="00FB4945">
        <w:rPr>
          <w:rFonts w:ascii="Times New Roman" w:hAnsi="Times New Roman" w:cs="Times New Roman"/>
          <w:lang w:val="uk-UA"/>
        </w:rPr>
        <w:t xml:space="preserve">    </w:t>
      </w:r>
      <w:r w:rsidR="00AF6C31">
        <w:rPr>
          <w:rFonts w:ascii="Times New Roman" w:hAnsi="Times New Roman" w:cs="Times New Roman"/>
          <w:lang w:val="uk-UA"/>
        </w:rPr>
        <w:t xml:space="preserve"> </w:t>
      </w:r>
      <w:r w:rsidR="00FB4945">
        <w:rPr>
          <w:rFonts w:ascii="Times New Roman" w:hAnsi="Times New Roman" w:cs="Times New Roman"/>
          <w:lang w:val="uk-UA"/>
        </w:rPr>
        <w:t xml:space="preserve">         </w:t>
      </w:r>
      <w:r w:rsidR="00FB4945" w:rsidRPr="00FB4945">
        <w:rPr>
          <w:rFonts w:ascii="Times New Roman" w:hAnsi="Times New Roman" w:cs="Times New Roman"/>
          <w:lang w:val="uk-UA"/>
        </w:rPr>
        <w:t xml:space="preserve">            </w:t>
      </w:r>
      <w:r w:rsidR="00FB4945" w:rsidRPr="00BD0219">
        <w:rPr>
          <w:rFonts w:ascii="Times New Roman" w:hAnsi="Times New Roman" w:cs="Times New Roman"/>
          <w:b/>
          <w:lang w:val="uk-UA"/>
        </w:rPr>
        <w:t xml:space="preserve">смт. Сергіївка                                                    № </w:t>
      </w:r>
      <w:r w:rsidR="00AF6C31" w:rsidRPr="00BD0219">
        <w:rPr>
          <w:rFonts w:ascii="Times New Roman" w:hAnsi="Times New Roman" w:cs="Times New Roman"/>
          <w:b/>
          <w:lang w:val="uk-UA"/>
        </w:rPr>
        <w:t>401</w:t>
      </w:r>
    </w:p>
    <w:p w:rsidR="00FB4945" w:rsidRDefault="00FB4945" w:rsidP="00FB4945">
      <w:pPr>
        <w:pStyle w:val="a6"/>
        <w:ind w:right="4535"/>
        <w:jc w:val="both"/>
        <w:rPr>
          <w:rFonts w:ascii="Times New Roman" w:hAnsi="Times New Roman" w:cs="Times New Roman"/>
          <w:b/>
          <w:sz w:val="24"/>
          <w:szCs w:val="24"/>
          <w:lang w:val="uk-UA"/>
        </w:rPr>
      </w:pPr>
      <w:r>
        <w:rPr>
          <w:rFonts w:ascii="Times New Roman" w:hAnsi="Times New Roman" w:cs="Times New Roman"/>
          <w:b/>
          <w:sz w:val="24"/>
          <w:szCs w:val="24"/>
          <w:lang w:val="uk-UA"/>
        </w:rPr>
        <w:t>Про</w:t>
      </w:r>
      <w:r w:rsidR="005811FF">
        <w:rPr>
          <w:rFonts w:ascii="Times New Roman" w:hAnsi="Times New Roman" w:cs="Times New Roman"/>
          <w:b/>
          <w:sz w:val="24"/>
          <w:szCs w:val="24"/>
          <w:lang w:val="uk-UA"/>
        </w:rPr>
        <w:t xml:space="preserve"> затвердження вартості харчування та </w:t>
      </w:r>
      <w:proofErr w:type="spellStart"/>
      <w:r w:rsidR="00713AFE">
        <w:rPr>
          <w:rFonts w:ascii="Times New Roman" w:hAnsi="Times New Roman" w:cs="Times New Roman"/>
          <w:b/>
          <w:sz w:val="24"/>
          <w:szCs w:val="24"/>
          <w:lang w:val="uk-UA"/>
        </w:rPr>
        <w:t> орга</w:t>
      </w:r>
      <w:bookmarkStart w:id="0" w:name="_GoBack"/>
      <w:bookmarkEnd w:id="0"/>
      <w:r w:rsidR="00713AFE">
        <w:rPr>
          <w:rFonts w:ascii="Times New Roman" w:hAnsi="Times New Roman" w:cs="Times New Roman"/>
          <w:b/>
          <w:sz w:val="24"/>
          <w:szCs w:val="24"/>
          <w:lang w:val="uk-UA"/>
        </w:rPr>
        <w:t>нізації</w:t>
      </w:r>
      <w:proofErr w:type="spellEnd"/>
      <w:r>
        <w:rPr>
          <w:rFonts w:ascii="Times New Roman" w:hAnsi="Times New Roman" w:cs="Times New Roman"/>
          <w:b/>
          <w:sz w:val="24"/>
          <w:szCs w:val="24"/>
          <w:lang w:val="uk-UA"/>
        </w:rPr>
        <w:t xml:space="preserve">  харчування дітей   в закладах освіти Сергіївської селищної ради Білгород-Дністровського району Одеської області  </w:t>
      </w:r>
      <w:r w:rsidR="0097524A">
        <w:rPr>
          <w:rFonts w:ascii="Times New Roman" w:hAnsi="Times New Roman" w:cs="Times New Roman"/>
          <w:b/>
          <w:sz w:val="24"/>
          <w:szCs w:val="24"/>
          <w:lang w:val="uk-UA"/>
        </w:rPr>
        <w:t>на 2021-2022 навчальний рік</w:t>
      </w:r>
    </w:p>
    <w:p w:rsidR="00FB4945" w:rsidRDefault="00FB4945" w:rsidP="00FB4945">
      <w:pPr>
        <w:pStyle w:val="a6"/>
        <w:jc w:val="both"/>
        <w:rPr>
          <w:rFonts w:ascii="Times New Roman" w:hAnsi="Times New Roman" w:cs="Times New Roman"/>
          <w:sz w:val="24"/>
          <w:szCs w:val="24"/>
          <w:lang w:val="uk-UA"/>
        </w:rPr>
      </w:pPr>
    </w:p>
    <w:p w:rsidR="00FB4945" w:rsidRDefault="00FB4945" w:rsidP="00FB4945">
      <w:pPr>
        <w:pStyle w:val="4"/>
        <w:spacing w:before="0" w:line="295" w:lineRule="atLeast"/>
        <w:jc w:val="both"/>
        <w:rPr>
          <w:rFonts w:ascii="Times New Roman" w:eastAsia="Times New Roman" w:hAnsi="Times New Roman" w:cs="Times New Roman"/>
          <w:i w:val="0"/>
          <w:color w:val="auto"/>
          <w:sz w:val="24"/>
          <w:szCs w:val="24"/>
          <w:lang w:val="uk-UA"/>
        </w:rPr>
      </w:pPr>
      <w:r>
        <w:rPr>
          <w:rFonts w:ascii="Times New Roman" w:hAnsi="Times New Roman" w:cs="Times New Roman"/>
          <w:sz w:val="24"/>
          <w:szCs w:val="24"/>
          <w:lang w:val="uk-UA"/>
        </w:rPr>
        <w:t xml:space="preserve">       </w:t>
      </w:r>
      <w:r w:rsidR="00B20D4F">
        <w:rPr>
          <w:rFonts w:ascii="Times New Roman" w:hAnsi="Times New Roman" w:cs="Times New Roman"/>
          <w:i w:val="0"/>
          <w:color w:val="auto"/>
          <w:sz w:val="24"/>
          <w:szCs w:val="24"/>
          <w:lang w:val="uk-UA"/>
        </w:rPr>
        <w:t>Керуючись ст.26,ст.59</w:t>
      </w:r>
      <w:r>
        <w:rPr>
          <w:rFonts w:ascii="Times New Roman" w:hAnsi="Times New Roman" w:cs="Times New Roman"/>
          <w:i w:val="0"/>
          <w:color w:val="auto"/>
          <w:sz w:val="24"/>
          <w:szCs w:val="24"/>
          <w:lang w:val="uk-UA"/>
        </w:rPr>
        <w:t xml:space="preserve"> Закону України «Про місцеве самоврядування в Україні», на виконання ст.</w:t>
      </w:r>
      <w:r w:rsidR="003C05A0">
        <w:rPr>
          <w:rFonts w:ascii="Times New Roman" w:hAnsi="Times New Roman" w:cs="Times New Roman"/>
          <w:i w:val="0"/>
          <w:color w:val="auto"/>
          <w:sz w:val="24"/>
          <w:szCs w:val="24"/>
          <w:lang w:val="uk-UA"/>
        </w:rPr>
        <w:t>56 Закону України «Про освіту», ст.</w:t>
      </w:r>
      <w:r>
        <w:rPr>
          <w:rFonts w:ascii="Times New Roman" w:hAnsi="Times New Roman" w:cs="Times New Roman"/>
          <w:i w:val="0"/>
          <w:color w:val="auto"/>
          <w:sz w:val="24"/>
          <w:szCs w:val="24"/>
          <w:lang w:val="uk-UA"/>
        </w:rPr>
        <w:t xml:space="preserve">35 Закону України «Про дошкільну освіту», </w:t>
      </w:r>
      <w:r w:rsidR="00F44977">
        <w:rPr>
          <w:rFonts w:ascii="Times New Roman" w:hAnsi="Times New Roman" w:cs="Times New Roman"/>
          <w:i w:val="0"/>
          <w:color w:val="auto"/>
          <w:sz w:val="24"/>
          <w:szCs w:val="24"/>
          <w:lang w:val="uk-UA"/>
        </w:rPr>
        <w:t>ст.10 Закону України «Про статус ветеранів війни, гарантії їх соціального захисту», згідно зі  ч.10 ст. 7 Закону України</w:t>
      </w:r>
      <w:r w:rsidR="00F44977">
        <w:rPr>
          <w:rFonts w:ascii="Times New Roman" w:hAnsi="Times New Roman" w:cs="Times New Roman"/>
          <w:i w:val="0"/>
          <w:color w:val="auto"/>
          <w:sz w:val="24"/>
          <w:szCs w:val="24"/>
        </w:rPr>
        <w:t>  </w:t>
      </w:r>
      <w:r w:rsidR="00F44977">
        <w:rPr>
          <w:rFonts w:ascii="Times New Roman" w:hAnsi="Times New Roman" w:cs="Times New Roman"/>
          <w:i w:val="0"/>
          <w:color w:val="auto"/>
          <w:sz w:val="24"/>
          <w:szCs w:val="24"/>
          <w:lang w:val="uk-UA"/>
        </w:rPr>
        <w:t>«</w:t>
      </w:r>
      <w:r w:rsidR="00F44977">
        <w:rPr>
          <w:rFonts w:ascii="Times New Roman" w:hAnsi="Times New Roman" w:cs="Times New Roman"/>
          <w:bCs/>
          <w:i w:val="0"/>
          <w:color w:val="auto"/>
          <w:sz w:val="24"/>
          <w:szCs w:val="24"/>
          <w:lang w:val="uk-UA"/>
        </w:rPr>
        <w:t xml:space="preserve">Про забезпечення прав і свобод внутрішньо переміщених осіб», </w:t>
      </w:r>
      <w:r w:rsidR="00AF4C14">
        <w:rPr>
          <w:rFonts w:ascii="Times New Roman" w:hAnsi="Times New Roman" w:cs="Times New Roman"/>
          <w:bCs/>
          <w:i w:val="0"/>
          <w:color w:val="auto"/>
          <w:sz w:val="24"/>
          <w:szCs w:val="24"/>
          <w:lang w:val="uk-UA"/>
        </w:rPr>
        <w:t xml:space="preserve">Закону України «Про внесення змін до деяких законів України щодо забезпечення безкоштовним харчуванням дітей внутрішньо переміщених осіб», </w:t>
      </w:r>
      <w:r w:rsidR="00F44977">
        <w:rPr>
          <w:rFonts w:ascii="Times New Roman" w:hAnsi="Times New Roman" w:cs="Times New Roman"/>
          <w:i w:val="0"/>
          <w:color w:val="auto"/>
          <w:sz w:val="24"/>
          <w:szCs w:val="24"/>
          <w:lang w:val="uk-UA"/>
        </w:rPr>
        <w:t xml:space="preserve"> </w:t>
      </w:r>
      <w:r w:rsidR="00AF4C14">
        <w:rPr>
          <w:rFonts w:ascii="Times New Roman" w:hAnsi="Times New Roman" w:cs="Times New Roman"/>
          <w:i w:val="0"/>
          <w:color w:val="auto"/>
          <w:sz w:val="24"/>
          <w:szCs w:val="24"/>
          <w:lang w:val="uk-UA"/>
        </w:rPr>
        <w:t>ст.10 Закону України « Про статус ветеранів війни,  гарантії їх соціального захисту», відповідно до</w:t>
      </w:r>
      <w:r>
        <w:rPr>
          <w:rFonts w:ascii="Times New Roman" w:hAnsi="Times New Roman" w:cs="Times New Roman"/>
          <w:i w:val="0"/>
          <w:color w:val="auto"/>
          <w:sz w:val="24"/>
          <w:szCs w:val="24"/>
          <w:lang w:val="uk-UA"/>
        </w:rPr>
        <w:t xml:space="preserve"> </w:t>
      </w:r>
      <w:r w:rsidR="00AF4C14">
        <w:rPr>
          <w:rFonts w:ascii="Times New Roman" w:eastAsia="Times New Roman" w:hAnsi="Times New Roman" w:cs="Times New Roman"/>
          <w:bCs/>
          <w:i w:val="0"/>
          <w:color w:val="auto"/>
          <w:sz w:val="24"/>
          <w:szCs w:val="24"/>
          <w:lang w:val="uk-UA"/>
        </w:rPr>
        <w:t xml:space="preserve">постанови </w:t>
      </w:r>
      <w:r>
        <w:rPr>
          <w:rFonts w:ascii="Times New Roman" w:eastAsia="Times New Roman" w:hAnsi="Times New Roman" w:cs="Times New Roman"/>
          <w:bCs/>
          <w:i w:val="0"/>
          <w:color w:val="auto"/>
          <w:sz w:val="24"/>
          <w:szCs w:val="24"/>
          <w:lang w:val="uk-UA"/>
        </w:rPr>
        <w:t xml:space="preserve"> Кабінету Міністрів України  від 24 березня 2021 р. № </w:t>
      </w:r>
      <w:bookmarkStart w:id="1" w:name="n11"/>
      <w:bookmarkEnd w:id="1"/>
      <w:r>
        <w:rPr>
          <w:rFonts w:ascii="Times New Roman" w:eastAsia="Times New Roman" w:hAnsi="Times New Roman" w:cs="Times New Roman"/>
          <w:bCs/>
          <w:i w:val="0"/>
          <w:color w:val="auto"/>
          <w:sz w:val="24"/>
          <w:szCs w:val="24"/>
          <w:lang w:val="uk-UA"/>
        </w:rPr>
        <w:t xml:space="preserve">305 «Про затвердження норм та Порядку організації  харчування у  закладах освіти та дитячих закладах оздоровлення та відпочинку», </w:t>
      </w:r>
      <w:r>
        <w:rPr>
          <w:rFonts w:ascii="Times New Roman" w:hAnsi="Times New Roman" w:cs="Times New Roman"/>
          <w:i w:val="0"/>
          <w:color w:val="auto"/>
          <w:sz w:val="24"/>
          <w:szCs w:val="24"/>
          <w:lang w:val="uk-UA"/>
        </w:rPr>
        <w:t xml:space="preserve"> «Про внесення змін до Порядку  встановлення плати для батьків за перебування дітей у державних і комунальних дошкільних та </w:t>
      </w:r>
      <w:proofErr w:type="spellStart"/>
      <w:r>
        <w:rPr>
          <w:rFonts w:ascii="Times New Roman" w:hAnsi="Times New Roman" w:cs="Times New Roman"/>
          <w:i w:val="0"/>
          <w:color w:val="auto"/>
          <w:sz w:val="24"/>
          <w:szCs w:val="24"/>
          <w:lang w:val="uk-UA"/>
        </w:rPr>
        <w:t>інтернатних</w:t>
      </w:r>
      <w:proofErr w:type="spellEnd"/>
      <w:r>
        <w:rPr>
          <w:rFonts w:ascii="Times New Roman" w:hAnsi="Times New Roman" w:cs="Times New Roman"/>
          <w:i w:val="0"/>
          <w:color w:val="auto"/>
          <w:sz w:val="24"/>
          <w:szCs w:val="24"/>
          <w:lang w:val="uk-UA"/>
        </w:rPr>
        <w:t xml:space="preserve"> навчальних закладах», затвердженого наказом Міністерст</w:t>
      </w:r>
      <w:r w:rsidR="004D602F">
        <w:rPr>
          <w:rFonts w:ascii="Times New Roman" w:hAnsi="Times New Roman" w:cs="Times New Roman"/>
          <w:i w:val="0"/>
          <w:color w:val="auto"/>
          <w:sz w:val="24"/>
          <w:szCs w:val="24"/>
          <w:lang w:val="uk-UA"/>
        </w:rPr>
        <w:t>ва освіти і науки України від 25.07.2005 року № 431</w:t>
      </w:r>
      <w:r>
        <w:rPr>
          <w:rFonts w:ascii="Times New Roman" w:hAnsi="Times New Roman" w:cs="Times New Roman"/>
          <w:i w:val="0"/>
          <w:color w:val="auto"/>
          <w:sz w:val="24"/>
          <w:szCs w:val="24"/>
          <w:lang w:val="uk-UA"/>
        </w:rPr>
        <w:t xml:space="preserve"> (зі змінами), з метою забезпечення дітей в закладах освіти повноцінним збалансованим  харчуванням, </w:t>
      </w:r>
      <w:r>
        <w:rPr>
          <w:rFonts w:ascii="Times New Roman" w:eastAsia="Times New Roman" w:hAnsi="Times New Roman" w:cs="Times New Roman"/>
          <w:i w:val="0"/>
          <w:color w:val="auto"/>
          <w:sz w:val="24"/>
          <w:szCs w:val="24"/>
          <w:lang w:val="uk-UA"/>
        </w:rPr>
        <w:t xml:space="preserve">Сергіївська  селищна  рада </w:t>
      </w:r>
    </w:p>
    <w:p w:rsidR="00FB4945" w:rsidRDefault="00FB4945" w:rsidP="00FB4945">
      <w:pPr>
        <w:rPr>
          <w:lang w:val="uk-UA"/>
        </w:rPr>
      </w:pPr>
    </w:p>
    <w:p w:rsidR="00FB4945" w:rsidRDefault="00FB4945" w:rsidP="00FB4945">
      <w:pPr>
        <w:pStyle w:val="a6"/>
        <w:spacing w:line="276" w:lineRule="auto"/>
        <w:ind w:right="-143" w:firstLine="284"/>
        <w:rPr>
          <w:rFonts w:ascii="Times New Roman" w:eastAsia="Times New Roman" w:hAnsi="Times New Roman" w:cs="Times New Roman"/>
          <w:iCs/>
          <w:sz w:val="24"/>
          <w:szCs w:val="24"/>
          <w:lang w:val="uk-UA" w:eastAsia="uk-UA"/>
        </w:rPr>
      </w:pPr>
      <w:r>
        <w:rPr>
          <w:rFonts w:ascii="Times New Roman" w:eastAsia="Times New Roman" w:hAnsi="Times New Roman" w:cs="Times New Roman"/>
          <w:iCs/>
          <w:sz w:val="24"/>
          <w:szCs w:val="24"/>
          <w:lang w:val="uk-UA" w:eastAsia="uk-UA"/>
        </w:rPr>
        <w:t>В И Р І Ш И Л А:</w:t>
      </w:r>
    </w:p>
    <w:p w:rsidR="00FB4945" w:rsidRDefault="00FB4945" w:rsidP="00FB4945">
      <w:pPr>
        <w:pStyle w:val="a6"/>
        <w:spacing w:line="276" w:lineRule="auto"/>
        <w:ind w:right="-143" w:firstLine="284"/>
        <w:rPr>
          <w:rFonts w:ascii="Times New Roman" w:eastAsia="Times New Roman" w:hAnsi="Times New Roman" w:cs="Times New Roman"/>
          <w:iCs/>
          <w:sz w:val="24"/>
          <w:szCs w:val="24"/>
          <w:lang w:val="uk-UA" w:eastAsia="uk-UA"/>
        </w:rPr>
      </w:pPr>
    </w:p>
    <w:p w:rsidR="00BE4FFA" w:rsidRDefault="00BE4FFA" w:rsidP="00BE4FFA">
      <w:pPr>
        <w:pStyle w:val="a6"/>
        <w:numPr>
          <w:ilvl w:val="0"/>
          <w:numId w:val="1"/>
        </w:numPr>
        <w:spacing w:line="276" w:lineRule="auto"/>
        <w:ind w:left="0"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Затвердити вартість харчування на одну  дитину в день  на 2021-2022 навчальний рік в закладах дошкільної освіти</w:t>
      </w:r>
      <w:r w:rsidR="000B7E19">
        <w:rPr>
          <w:rFonts w:ascii="Times New Roman" w:hAnsi="Times New Roman" w:cs="Times New Roman"/>
          <w:sz w:val="24"/>
          <w:szCs w:val="24"/>
          <w:lang w:val="uk-UA"/>
        </w:rPr>
        <w:t xml:space="preserve"> та дошкільних структурних підрозділах </w:t>
      </w:r>
      <w:r>
        <w:rPr>
          <w:rFonts w:ascii="Times New Roman" w:hAnsi="Times New Roman" w:cs="Times New Roman"/>
          <w:sz w:val="24"/>
          <w:szCs w:val="24"/>
          <w:lang w:val="uk-UA"/>
        </w:rPr>
        <w:t xml:space="preserve"> Сергіївської</w:t>
      </w:r>
      <w:r w:rsidR="006C010D">
        <w:rPr>
          <w:rFonts w:ascii="Times New Roman" w:hAnsi="Times New Roman" w:cs="Times New Roman"/>
          <w:sz w:val="24"/>
          <w:szCs w:val="24"/>
          <w:lang w:val="uk-UA"/>
        </w:rPr>
        <w:t xml:space="preserve"> селищної  ради в розмірі 45,00</w:t>
      </w:r>
      <w:r w:rsidR="00A77380">
        <w:rPr>
          <w:rFonts w:ascii="Times New Roman" w:hAnsi="Times New Roman" w:cs="Times New Roman"/>
          <w:sz w:val="24"/>
          <w:szCs w:val="24"/>
          <w:lang w:val="uk-UA"/>
        </w:rPr>
        <w:t>грн в день  відповідно меню на день та цін на продукти харчування</w:t>
      </w:r>
      <w:r>
        <w:rPr>
          <w:rFonts w:ascii="Times New Roman" w:hAnsi="Times New Roman" w:cs="Times New Roman"/>
          <w:sz w:val="24"/>
          <w:szCs w:val="24"/>
          <w:lang w:val="uk-UA"/>
        </w:rPr>
        <w:t xml:space="preserve">. </w:t>
      </w:r>
    </w:p>
    <w:p w:rsidR="00FB4945" w:rsidRDefault="00FB4945" w:rsidP="00BE4FFA">
      <w:pPr>
        <w:pStyle w:val="a6"/>
        <w:numPr>
          <w:ilvl w:val="0"/>
          <w:numId w:val="1"/>
        </w:numPr>
        <w:spacing w:line="276" w:lineRule="auto"/>
        <w:ind w:left="0" w:right="-143" w:firstLine="284"/>
        <w:jc w:val="both"/>
        <w:rPr>
          <w:rFonts w:ascii="Times New Roman" w:hAnsi="Times New Roman" w:cs="Times New Roman"/>
          <w:sz w:val="24"/>
          <w:szCs w:val="24"/>
          <w:lang w:val="uk-UA"/>
        </w:rPr>
      </w:pPr>
      <w:r>
        <w:rPr>
          <w:rFonts w:ascii="Times New Roman" w:eastAsia="Times New Roman" w:hAnsi="Times New Roman" w:cs="Times New Roman"/>
          <w:iCs/>
          <w:sz w:val="24"/>
          <w:szCs w:val="24"/>
          <w:lang w:val="uk-UA" w:eastAsia="uk-UA"/>
        </w:rPr>
        <w:t xml:space="preserve"> </w:t>
      </w:r>
      <w:r>
        <w:rPr>
          <w:rFonts w:ascii="Times New Roman" w:hAnsi="Times New Roman" w:cs="Times New Roman"/>
          <w:sz w:val="24"/>
          <w:szCs w:val="24"/>
          <w:lang w:val="uk-UA"/>
        </w:rPr>
        <w:t xml:space="preserve">Встановити </w:t>
      </w:r>
      <w:r w:rsidR="00EF0FF6">
        <w:rPr>
          <w:rFonts w:ascii="Times New Roman" w:hAnsi="Times New Roman" w:cs="Times New Roman"/>
          <w:sz w:val="24"/>
          <w:szCs w:val="24"/>
          <w:lang w:val="uk-UA"/>
        </w:rPr>
        <w:t xml:space="preserve">  вартість  та здійснювати видатки з селищного бюджету  на </w:t>
      </w:r>
      <w:r>
        <w:rPr>
          <w:rFonts w:ascii="Times New Roman" w:hAnsi="Times New Roman" w:cs="Times New Roman"/>
          <w:sz w:val="24"/>
          <w:szCs w:val="24"/>
          <w:lang w:val="uk-UA"/>
        </w:rPr>
        <w:t xml:space="preserve"> харчування дітей 1-4-х класів </w:t>
      </w:r>
      <w:r w:rsidR="00FB2366">
        <w:rPr>
          <w:rFonts w:ascii="Times New Roman" w:hAnsi="Times New Roman" w:cs="Times New Roman"/>
          <w:sz w:val="24"/>
          <w:szCs w:val="24"/>
          <w:lang w:val="uk-UA"/>
        </w:rPr>
        <w:t xml:space="preserve"> та 5-11 класів (</w:t>
      </w:r>
      <w:r w:rsidR="00EF0FF6">
        <w:rPr>
          <w:rFonts w:ascii="Times New Roman" w:hAnsi="Times New Roman" w:cs="Times New Roman"/>
          <w:sz w:val="24"/>
          <w:szCs w:val="24"/>
          <w:lang w:val="uk-UA"/>
        </w:rPr>
        <w:t xml:space="preserve">пільговий контингент) на одну  дитину в день </w:t>
      </w:r>
      <w:r w:rsidR="00FB2366">
        <w:rPr>
          <w:rFonts w:ascii="Times New Roman" w:hAnsi="Times New Roman" w:cs="Times New Roman"/>
          <w:sz w:val="24"/>
          <w:szCs w:val="24"/>
          <w:lang w:val="uk-UA"/>
        </w:rPr>
        <w:t xml:space="preserve"> </w:t>
      </w:r>
      <w:r>
        <w:rPr>
          <w:rFonts w:ascii="Times New Roman" w:hAnsi="Times New Roman" w:cs="Times New Roman"/>
          <w:sz w:val="24"/>
          <w:szCs w:val="24"/>
          <w:lang w:val="uk-UA"/>
        </w:rPr>
        <w:t>на 2021</w:t>
      </w:r>
      <w:r w:rsidR="00FB2366">
        <w:rPr>
          <w:rFonts w:ascii="Times New Roman" w:hAnsi="Times New Roman" w:cs="Times New Roman"/>
          <w:sz w:val="24"/>
          <w:szCs w:val="24"/>
          <w:lang w:val="uk-UA"/>
        </w:rPr>
        <w:t>-2022 навчальний</w:t>
      </w:r>
      <w:r w:rsidR="003F345F">
        <w:rPr>
          <w:rFonts w:ascii="Times New Roman" w:hAnsi="Times New Roman" w:cs="Times New Roman"/>
          <w:sz w:val="24"/>
          <w:szCs w:val="24"/>
          <w:lang w:val="uk-UA"/>
        </w:rPr>
        <w:t xml:space="preserve"> рік ( з врахуванням </w:t>
      </w:r>
      <w:r w:rsidR="000B7E19">
        <w:rPr>
          <w:rFonts w:ascii="Times New Roman" w:hAnsi="Times New Roman" w:cs="Times New Roman"/>
          <w:sz w:val="24"/>
          <w:szCs w:val="24"/>
          <w:lang w:val="uk-UA"/>
        </w:rPr>
        <w:t xml:space="preserve">проведення пришкільних таборів відпочинку) </w:t>
      </w:r>
      <w:r>
        <w:rPr>
          <w:rFonts w:ascii="Times New Roman" w:hAnsi="Times New Roman" w:cs="Times New Roman"/>
          <w:sz w:val="24"/>
          <w:szCs w:val="24"/>
          <w:lang w:val="uk-UA"/>
        </w:rPr>
        <w:t xml:space="preserve">в закладах загальної середньої освіти Сергіївської селищної  ради   </w:t>
      </w:r>
      <w:r w:rsidR="006C010D">
        <w:rPr>
          <w:rFonts w:ascii="Times New Roman" w:hAnsi="Times New Roman" w:cs="Times New Roman"/>
          <w:sz w:val="24"/>
          <w:szCs w:val="24"/>
          <w:lang w:val="uk-UA"/>
        </w:rPr>
        <w:t>в розмірі 35,00</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грн</w:t>
      </w:r>
      <w:proofErr w:type="spellEnd"/>
      <w:r>
        <w:rPr>
          <w:rFonts w:ascii="Times New Roman" w:hAnsi="Times New Roman" w:cs="Times New Roman"/>
          <w:sz w:val="24"/>
          <w:szCs w:val="24"/>
          <w:lang w:val="uk-UA"/>
        </w:rPr>
        <w:t xml:space="preserve"> в день</w:t>
      </w:r>
      <w:r w:rsidR="00EF0FF6">
        <w:rPr>
          <w:rFonts w:ascii="Times New Roman" w:hAnsi="Times New Roman" w:cs="Times New Roman"/>
          <w:sz w:val="24"/>
          <w:szCs w:val="24"/>
          <w:lang w:val="uk-UA"/>
        </w:rPr>
        <w:t xml:space="preserve"> відповідно  меню на де</w:t>
      </w:r>
      <w:r w:rsidR="00F73895">
        <w:rPr>
          <w:rFonts w:ascii="Times New Roman" w:hAnsi="Times New Roman" w:cs="Times New Roman"/>
          <w:sz w:val="24"/>
          <w:szCs w:val="24"/>
          <w:lang w:val="uk-UA"/>
        </w:rPr>
        <w:t>нь</w:t>
      </w:r>
      <w:r w:rsidR="00A77380">
        <w:rPr>
          <w:rFonts w:ascii="Times New Roman" w:hAnsi="Times New Roman" w:cs="Times New Roman"/>
          <w:sz w:val="24"/>
          <w:szCs w:val="24"/>
          <w:lang w:val="uk-UA"/>
        </w:rPr>
        <w:t xml:space="preserve"> та цін на продукти харчування</w:t>
      </w:r>
      <w:r>
        <w:rPr>
          <w:rFonts w:ascii="Times New Roman" w:hAnsi="Times New Roman" w:cs="Times New Roman"/>
          <w:sz w:val="24"/>
          <w:szCs w:val="24"/>
          <w:lang w:val="uk-UA"/>
        </w:rPr>
        <w:t>.</w:t>
      </w:r>
    </w:p>
    <w:p w:rsidR="006C010D" w:rsidRDefault="00F73895" w:rsidP="00A77380">
      <w:pPr>
        <w:pStyle w:val="a6"/>
        <w:numPr>
          <w:ilvl w:val="0"/>
          <w:numId w:val="1"/>
        </w:numPr>
        <w:spacing w:line="276" w:lineRule="auto"/>
        <w:ind w:left="0" w:right="-143" w:firstLine="284"/>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сесії селищної ради від11.02.2021 р. №110 </w:t>
      </w:r>
      <w:r w:rsidR="00A77380">
        <w:rPr>
          <w:rFonts w:ascii="Times New Roman" w:hAnsi="Times New Roman" w:cs="Times New Roman"/>
          <w:sz w:val="24"/>
          <w:szCs w:val="24"/>
          <w:lang w:val="uk-UA"/>
        </w:rPr>
        <w:t>«</w:t>
      </w:r>
      <w:r w:rsidR="00A77380" w:rsidRPr="00A77380">
        <w:rPr>
          <w:rFonts w:ascii="Times New Roman" w:hAnsi="Times New Roman" w:cs="Times New Roman"/>
          <w:sz w:val="24"/>
          <w:szCs w:val="24"/>
          <w:lang w:val="uk-UA"/>
        </w:rPr>
        <w:t xml:space="preserve">Про організацію  харчування дітей   в закладах освіти Сергіївської селищної ради Білгород-Дністровського району </w:t>
      </w:r>
      <w:r w:rsidR="00A77380" w:rsidRPr="00A77380">
        <w:rPr>
          <w:rFonts w:ascii="Times New Roman" w:hAnsi="Times New Roman" w:cs="Times New Roman"/>
          <w:sz w:val="24"/>
          <w:szCs w:val="24"/>
          <w:lang w:val="uk-UA"/>
        </w:rPr>
        <w:lastRenderedPageBreak/>
        <w:t>Одеської області  на 2021</w:t>
      </w:r>
      <w:r>
        <w:rPr>
          <w:rFonts w:ascii="Times New Roman" w:hAnsi="Times New Roman" w:cs="Times New Roman"/>
          <w:sz w:val="24"/>
          <w:szCs w:val="24"/>
          <w:lang w:val="uk-UA"/>
        </w:rPr>
        <w:t xml:space="preserve"> </w:t>
      </w:r>
      <w:r w:rsidR="00A77380">
        <w:rPr>
          <w:rFonts w:ascii="Times New Roman" w:hAnsi="Times New Roman" w:cs="Times New Roman"/>
          <w:sz w:val="24"/>
          <w:szCs w:val="24"/>
          <w:lang w:val="uk-UA"/>
        </w:rPr>
        <w:t>року» та рішення сесії селищної ради від</w:t>
      </w:r>
      <w:r w:rsidR="009A4086">
        <w:rPr>
          <w:rFonts w:ascii="Times New Roman" w:hAnsi="Times New Roman" w:cs="Times New Roman"/>
          <w:sz w:val="24"/>
          <w:szCs w:val="24"/>
          <w:lang w:val="uk-UA"/>
        </w:rPr>
        <w:t xml:space="preserve"> 04.03.2021 р. №152 «</w:t>
      </w:r>
      <w:r w:rsidR="00572151">
        <w:rPr>
          <w:rFonts w:ascii="Times New Roman" w:hAnsi="Times New Roman" w:cs="Times New Roman"/>
          <w:sz w:val="24"/>
          <w:szCs w:val="24"/>
          <w:lang w:val="uk-UA"/>
        </w:rPr>
        <w:t>Про внесення змін та доповнень до рішення Сергіївської селищної ради від 11.02.2021 р. №110»</w:t>
      </w:r>
      <w:r w:rsidR="009A4086">
        <w:rPr>
          <w:rFonts w:ascii="Times New Roman" w:hAnsi="Times New Roman" w:cs="Times New Roman"/>
          <w:sz w:val="24"/>
          <w:szCs w:val="24"/>
          <w:lang w:val="uk-UA"/>
        </w:rPr>
        <w:t xml:space="preserve"> </w:t>
      </w:r>
      <w:r w:rsidR="006C442A">
        <w:rPr>
          <w:rFonts w:ascii="Times New Roman" w:hAnsi="Times New Roman" w:cs="Times New Roman"/>
          <w:sz w:val="24"/>
          <w:szCs w:val="24"/>
          <w:lang w:val="uk-UA"/>
        </w:rPr>
        <w:t>вважати такими що втратили чинність.</w:t>
      </w:r>
    </w:p>
    <w:p w:rsidR="00FB4945" w:rsidRDefault="00BE4FFA"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B09A1">
        <w:rPr>
          <w:rFonts w:ascii="Times New Roman" w:hAnsi="Times New Roman" w:cs="Times New Roman"/>
          <w:sz w:val="24"/>
          <w:szCs w:val="24"/>
          <w:lang w:val="uk-UA"/>
        </w:rPr>
        <w:t>4</w:t>
      </w:r>
      <w:r w:rsidR="00FB4945">
        <w:rPr>
          <w:rFonts w:ascii="Times New Roman" w:hAnsi="Times New Roman" w:cs="Times New Roman"/>
          <w:sz w:val="24"/>
          <w:szCs w:val="24"/>
          <w:lang w:val="uk-UA"/>
        </w:rPr>
        <w:t>. Виз</w:t>
      </w:r>
      <w:r w:rsidR="009A4086">
        <w:rPr>
          <w:rFonts w:ascii="Times New Roman" w:hAnsi="Times New Roman" w:cs="Times New Roman"/>
          <w:sz w:val="24"/>
          <w:szCs w:val="24"/>
          <w:lang w:val="uk-UA"/>
        </w:rPr>
        <w:t>начити, що розмір плати батьків</w:t>
      </w:r>
      <w:r w:rsidR="00FB4945">
        <w:rPr>
          <w:rFonts w:ascii="Times New Roman" w:hAnsi="Times New Roman" w:cs="Times New Roman"/>
          <w:sz w:val="24"/>
          <w:szCs w:val="24"/>
          <w:lang w:val="uk-UA"/>
        </w:rPr>
        <w:t xml:space="preserve"> або осіб, які їх замінюють, за харчування дітей, які  перебувають у комунальних закладах дошкільної освіти</w:t>
      </w:r>
      <w:r w:rsidR="00DE0DAC">
        <w:rPr>
          <w:rFonts w:ascii="Times New Roman" w:hAnsi="Times New Roman" w:cs="Times New Roman"/>
          <w:sz w:val="24"/>
          <w:szCs w:val="24"/>
          <w:lang w:val="uk-UA"/>
        </w:rPr>
        <w:t xml:space="preserve"> та дошкільних структурних підрозділах </w:t>
      </w:r>
      <w:r w:rsidR="00FB4945">
        <w:rPr>
          <w:rFonts w:ascii="Times New Roman" w:hAnsi="Times New Roman" w:cs="Times New Roman"/>
          <w:sz w:val="24"/>
          <w:szCs w:val="24"/>
          <w:lang w:val="uk-UA"/>
        </w:rPr>
        <w:t xml:space="preserve">  Сергіївської селищної  ради  на 2021</w:t>
      </w:r>
      <w:r>
        <w:rPr>
          <w:rFonts w:ascii="Times New Roman" w:hAnsi="Times New Roman" w:cs="Times New Roman"/>
          <w:sz w:val="24"/>
          <w:szCs w:val="24"/>
          <w:lang w:val="uk-UA"/>
        </w:rPr>
        <w:t xml:space="preserve">-2022 навчальний </w:t>
      </w:r>
      <w:r w:rsidR="00FB4945">
        <w:rPr>
          <w:rFonts w:ascii="Times New Roman" w:hAnsi="Times New Roman" w:cs="Times New Roman"/>
          <w:sz w:val="24"/>
          <w:szCs w:val="24"/>
          <w:lang w:val="uk-UA"/>
        </w:rPr>
        <w:t>рік встановлюється:</w:t>
      </w:r>
    </w:p>
    <w:p w:rsidR="00FB4945" w:rsidRDefault="009B09A1"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FB4945">
        <w:rPr>
          <w:rFonts w:ascii="Times New Roman" w:hAnsi="Times New Roman" w:cs="Times New Roman"/>
          <w:sz w:val="24"/>
          <w:szCs w:val="24"/>
          <w:lang w:val="uk-UA"/>
        </w:rPr>
        <w:t>.1.Для дітей, які зареєстровані та постійно проживають на території громади у розмірі 40 відсотків від вартості харчування.</w:t>
      </w:r>
    </w:p>
    <w:p w:rsidR="00FB4945" w:rsidRDefault="009B09A1"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FB4945">
        <w:rPr>
          <w:rFonts w:ascii="Times New Roman" w:hAnsi="Times New Roman" w:cs="Times New Roman"/>
          <w:sz w:val="24"/>
          <w:szCs w:val="24"/>
          <w:lang w:val="uk-UA"/>
        </w:rPr>
        <w:t xml:space="preserve">.2.Для дітей з сімей, які належать до інших територіальних громад, встановити батьківську </w:t>
      </w:r>
      <w:r w:rsidR="00BE4FFA">
        <w:rPr>
          <w:rFonts w:ascii="Times New Roman" w:hAnsi="Times New Roman" w:cs="Times New Roman"/>
          <w:sz w:val="24"/>
          <w:szCs w:val="24"/>
          <w:lang w:val="uk-UA"/>
        </w:rPr>
        <w:t>плату за харчування згідно з п.1</w:t>
      </w:r>
      <w:r w:rsidR="00FB4945">
        <w:rPr>
          <w:rFonts w:ascii="Times New Roman" w:hAnsi="Times New Roman" w:cs="Times New Roman"/>
          <w:sz w:val="24"/>
          <w:szCs w:val="24"/>
          <w:lang w:val="uk-UA"/>
        </w:rPr>
        <w:t xml:space="preserve"> даного рішення. У випадку укладання угоди про здійснення міжбюджетних трансфертів між Сергіївською селищною  радою та іншими об’єднаними територіальними громадами чи органами місцевого самоврядування встановити батьківську плату за харчування відповідно до п. 3</w:t>
      </w:r>
      <w:r w:rsidR="00BE4FFA">
        <w:rPr>
          <w:rFonts w:ascii="Times New Roman" w:hAnsi="Times New Roman" w:cs="Times New Roman"/>
          <w:sz w:val="24"/>
          <w:szCs w:val="24"/>
          <w:lang w:val="uk-UA"/>
        </w:rPr>
        <w:t xml:space="preserve">.1. </w:t>
      </w:r>
      <w:r w:rsidR="00FB4945">
        <w:rPr>
          <w:rFonts w:ascii="Times New Roman" w:hAnsi="Times New Roman" w:cs="Times New Roman"/>
          <w:sz w:val="24"/>
          <w:szCs w:val="24"/>
          <w:lang w:val="uk-UA"/>
        </w:rPr>
        <w:t xml:space="preserve"> даного рішення.</w:t>
      </w:r>
    </w:p>
    <w:p w:rsidR="00FB4945" w:rsidRDefault="00FB4945"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4.У літній оздоровчий період (з 01 червня по 31 серпня) збільшити  плату за харчування дітей в закладах дошкільної освіти</w:t>
      </w:r>
      <w:r w:rsidR="00DE0DAC">
        <w:rPr>
          <w:rFonts w:ascii="Times New Roman" w:hAnsi="Times New Roman" w:cs="Times New Roman"/>
          <w:sz w:val="24"/>
          <w:szCs w:val="24"/>
          <w:lang w:val="uk-UA"/>
        </w:rPr>
        <w:t xml:space="preserve"> та дошкільних структурних підрозділах</w:t>
      </w:r>
      <w:r>
        <w:rPr>
          <w:rFonts w:ascii="Times New Roman" w:hAnsi="Times New Roman" w:cs="Times New Roman"/>
          <w:sz w:val="24"/>
          <w:szCs w:val="24"/>
          <w:lang w:val="uk-UA"/>
        </w:rPr>
        <w:t xml:space="preserve"> Сергіївської селищної  ради на  15 відсотків.</w:t>
      </w:r>
    </w:p>
    <w:p w:rsidR="00FB4945" w:rsidRDefault="00FB4945"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5. Оплата здійснюється лише за дні відвідування дитиною закладу дошкільної освіти</w:t>
      </w:r>
      <w:r w:rsidR="00DE0DAC">
        <w:rPr>
          <w:rFonts w:ascii="Times New Roman" w:hAnsi="Times New Roman" w:cs="Times New Roman"/>
          <w:sz w:val="24"/>
          <w:szCs w:val="24"/>
          <w:lang w:val="uk-UA"/>
        </w:rPr>
        <w:t xml:space="preserve"> та дошкільного структурного підрозділу</w:t>
      </w:r>
      <w:r>
        <w:rPr>
          <w:rFonts w:ascii="Times New Roman" w:hAnsi="Times New Roman" w:cs="Times New Roman"/>
          <w:sz w:val="24"/>
          <w:szCs w:val="24"/>
          <w:lang w:val="uk-UA"/>
        </w:rPr>
        <w:t>. Плата вноситься не пізніше 10-го числа поточного місяця.</w:t>
      </w:r>
    </w:p>
    <w:p w:rsidR="00FB4945" w:rsidRDefault="00FB4945"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6.Директорам закладів дошкільної освіти </w:t>
      </w:r>
      <w:r w:rsidR="00DE0DAC">
        <w:rPr>
          <w:rFonts w:ascii="Times New Roman" w:hAnsi="Times New Roman" w:cs="Times New Roman"/>
          <w:sz w:val="24"/>
          <w:szCs w:val="24"/>
          <w:lang w:val="uk-UA"/>
        </w:rPr>
        <w:t xml:space="preserve">та відповідальному за роботу дошкільного структурного підрозділу </w:t>
      </w:r>
      <w:r>
        <w:rPr>
          <w:rFonts w:ascii="Times New Roman" w:hAnsi="Times New Roman" w:cs="Times New Roman"/>
          <w:sz w:val="24"/>
          <w:szCs w:val="24"/>
          <w:lang w:val="uk-UA"/>
        </w:rPr>
        <w:t>дотримуватися встановленої норми вартості харчування однієї дитини за одне відвідування в день.</w:t>
      </w:r>
    </w:p>
    <w:p w:rsidR="00FB4945" w:rsidRDefault="00FB4945" w:rsidP="00FB4945">
      <w:pPr>
        <w:pStyle w:val="a6"/>
        <w:spacing w:line="276" w:lineRule="auto"/>
        <w:ind w:right="-143"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Затвердити пільги для батьків, що зареєстровані або постійно проживають на території Сергіївської селищної ради або один із батьків працює на підприємстві, що зареєстроване на території Сергіївської селищної ради,  за перебування дітей у закладах </w:t>
      </w:r>
      <w:r w:rsidR="00DE0DAC">
        <w:rPr>
          <w:rFonts w:ascii="Times New Roman" w:hAnsi="Times New Roman" w:cs="Times New Roman"/>
          <w:sz w:val="24"/>
          <w:szCs w:val="24"/>
          <w:lang w:val="uk-UA"/>
        </w:rPr>
        <w:t>дошкільної освіти та дошкільному структурному підрозділі</w:t>
      </w:r>
      <w:r>
        <w:rPr>
          <w:rFonts w:ascii="Times New Roman" w:hAnsi="Times New Roman" w:cs="Times New Roman"/>
          <w:sz w:val="24"/>
          <w:szCs w:val="24"/>
          <w:lang w:val="uk-UA"/>
        </w:rPr>
        <w:t xml:space="preserve"> дітей, </w:t>
      </w:r>
      <w:r>
        <w:rPr>
          <w:rFonts w:ascii="Times New Roman" w:eastAsia="Times New Roman" w:hAnsi="Times New Roman" w:cs="Times New Roman"/>
          <w:sz w:val="24"/>
          <w:szCs w:val="24"/>
          <w:lang w:val="uk-UA" w:eastAsia="uk-UA"/>
        </w:rPr>
        <w:t xml:space="preserve">які навчаються у спеціальних і інклюзивних класах, та учнів </w:t>
      </w:r>
      <w:r w:rsidR="00DE0DAC">
        <w:rPr>
          <w:rFonts w:ascii="Times New Roman" w:eastAsia="Times New Roman" w:hAnsi="Times New Roman" w:cs="Times New Roman"/>
          <w:sz w:val="24"/>
          <w:szCs w:val="24"/>
          <w:lang w:val="uk-UA" w:eastAsia="uk-UA"/>
        </w:rPr>
        <w:t xml:space="preserve">5-11 </w:t>
      </w:r>
      <w:r>
        <w:rPr>
          <w:rFonts w:ascii="Times New Roman" w:eastAsia="Times New Roman" w:hAnsi="Times New Roman" w:cs="Times New Roman"/>
          <w:sz w:val="24"/>
          <w:szCs w:val="24"/>
          <w:lang w:val="uk-UA" w:eastAsia="uk-UA"/>
        </w:rPr>
        <w:t>класів</w:t>
      </w:r>
      <w:r>
        <w:rPr>
          <w:rFonts w:ascii="Times New Roman" w:hAnsi="Times New Roman" w:cs="Times New Roman"/>
          <w:sz w:val="24"/>
          <w:szCs w:val="24"/>
          <w:lang w:val="uk-UA"/>
        </w:rPr>
        <w:t xml:space="preserve"> закладів загальної середньої освіти в наступних розмірах:</w:t>
      </w:r>
    </w:p>
    <w:tbl>
      <w:tblPr>
        <w:tblStyle w:val="a7"/>
        <w:tblW w:w="0" w:type="auto"/>
        <w:tblLook w:val="04A0" w:firstRow="1" w:lastRow="0" w:firstColumn="1" w:lastColumn="0" w:noHBand="0" w:noVBand="1"/>
      </w:tblPr>
      <w:tblGrid>
        <w:gridCol w:w="729"/>
        <w:gridCol w:w="7199"/>
        <w:gridCol w:w="1417"/>
      </w:tblGrid>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з\п</w:t>
            </w:r>
            <w:proofErr w:type="spellEnd"/>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jc w:val="center"/>
              <w:rPr>
                <w:rFonts w:ascii="Times New Roman" w:hAnsi="Times New Roman" w:cs="Times New Roman"/>
                <w:sz w:val="24"/>
                <w:szCs w:val="24"/>
                <w:lang w:val="uk-UA"/>
              </w:rPr>
            </w:pPr>
            <w:r>
              <w:rPr>
                <w:rFonts w:ascii="Times New Roman" w:hAnsi="Times New Roman" w:cs="Times New Roman"/>
                <w:sz w:val="24"/>
                <w:szCs w:val="24"/>
                <w:lang w:val="uk-UA"/>
              </w:rPr>
              <w:t>Пільгова категорія</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Відсоток</w:t>
            </w:r>
          </w:p>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 xml:space="preserve">  пільги</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Багатодітні сім’ї, які виховують п’ять і більше дітей</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Сім’ї, в яких сукупний дохід на кожного члена за попередній квартал не перевищував рівня забезпечення прожиткового мінімуму (гарантованого мінімуму)</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Діти-сироти та діти, позбавлені батьківського піклування, які перебувають під опікою і виховуються в сім’ях </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Діти, які мають статус дитини з інвалідністю</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 xml:space="preserve">    5.</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Діти внутрішньо переміщених осіб</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 xml:space="preserve">     100%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Багатодітні сім’ї, які виховують 3-4 дітей</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50%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Батьки і діти, потерпілі від наслідків аварії на Чорнобильській АЕС</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50%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pPr>
              <w:pStyle w:val="a6"/>
              <w:rPr>
                <w:rFonts w:ascii="Times New Roman" w:hAnsi="Times New Roman" w:cs="Times New Roman"/>
                <w:sz w:val="24"/>
                <w:szCs w:val="24"/>
                <w:lang w:val="uk-UA"/>
              </w:rPr>
            </w:pPr>
            <w:r>
              <w:rPr>
                <w:rFonts w:ascii="Times New Roman" w:hAnsi="Times New Roman" w:cs="Times New Roman"/>
                <w:sz w:val="24"/>
                <w:szCs w:val="24"/>
                <w:lang w:val="uk-UA"/>
              </w:rPr>
              <w:t xml:space="preserve">     8.</w:t>
            </w:r>
          </w:p>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Діти, батьки яких брали участь в бойових діях та антитерористичних операціях, інвалідам війни</w:t>
            </w:r>
          </w:p>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pPr>
              <w:pStyle w:val="a6"/>
              <w:ind w:firstLine="284"/>
              <w:rPr>
                <w:rFonts w:ascii="Times New Roman" w:hAnsi="Times New Roman" w:cs="Times New Roman"/>
                <w:sz w:val="24"/>
                <w:szCs w:val="24"/>
                <w:lang w:val="uk-UA"/>
              </w:rPr>
            </w:pPr>
            <w:r>
              <w:rPr>
                <w:rFonts w:ascii="Times New Roman" w:hAnsi="Times New Roman" w:cs="Times New Roman"/>
                <w:sz w:val="24"/>
                <w:szCs w:val="24"/>
                <w:lang w:val="uk-UA"/>
              </w:rPr>
              <w:t>50%</w:t>
            </w:r>
          </w:p>
        </w:tc>
      </w:tr>
      <w:tr w:rsidR="00FB4945" w:rsidTr="00FB4945">
        <w:tc>
          <w:tcPr>
            <w:tcW w:w="729" w:type="dxa"/>
            <w:tcBorders>
              <w:top w:val="single" w:sz="4" w:space="0" w:color="auto"/>
              <w:left w:val="single" w:sz="4" w:space="0" w:color="auto"/>
              <w:bottom w:val="single" w:sz="4" w:space="0" w:color="auto"/>
              <w:right w:val="single" w:sz="4" w:space="0" w:color="auto"/>
            </w:tcBorders>
            <w:hideMark/>
          </w:tcPr>
          <w:p w:rsidR="00FB4945" w:rsidRDefault="00FB4945"/>
        </w:tc>
        <w:tc>
          <w:tcPr>
            <w:tcW w:w="7199" w:type="dxa"/>
            <w:tcBorders>
              <w:top w:val="single" w:sz="4" w:space="0" w:color="auto"/>
              <w:left w:val="single" w:sz="4" w:space="0" w:color="auto"/>
              <w:bottom w:val="single" w:sz="4" w:space="0" w:color="auto"/>
              <w:right w:val="single" w:sz="4" w:space="0" w:color="auto"/>
            </w:tcBorders>
            <w:hideMark/>
          </w:tcPr>
          <w:p w:rsidR="00FB4945" w:rsidRDefault="00FB4945"/>
        </w:tc>
        <w:tc>
          <w:tcPr>
            <w:tcW w:w="1417" w:type="dxa"/>
            <w:tcBorders>
              <w:top w:val="single" w:sz="4" w:space="0" w:color="auto"/>
              <w:left w:val="single" w:sz="4" w:space="0" w:color="auto"/>
              <w:bottom w:val="single" w:sz="4" w:space="0" w:color="auto"/>
              <w:right w:val="single" w:sz="4" w:space="0" w:color="auto"/>
            </w:tcBorders>
            <w:hideMark/>
          </w:tcPr>
          <w:p w:rsidR="00FB4945" w:rsidRDefault="00FB4945"/>
        </w:tc>
      </w:tr>
    </w:tbl>
    <w:p w:rsidR="00FB4945" w:rsidRDefault="00FB4945" w:rsidP="00FB4945">
      <w:pPr>
        <w:pStyle w:val="a6"/>
        <w:ind w:firstLine="284"/>
        <w:jc w:val="both"/>
        <w:rPr>
          <w:rFonts w:ascii="Times New Roman" w:hAnsi="Times New Roman" w:cs="Times New Roman"/>
          <w:sz w:val="24"/>
          <w:szCs w:val="24"/>
          <w:lang w:val="uk-UA"/>
        </w:rPr>
      </w:pPr>
    </w:p>
    <w:p w:rsidR="00FB4945" w:rsidRDefault="00FB4945" w:rsidP="00FB4945">
      <w:pPr>
        <w:pStyle w:val="a6"/>
        <w:spacing w:line="276" w:lineRule="auto"/>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 Зобов’язати керівників закладів освіти </w:t>
      </w:r>
      <w:r>
        <w:rPr>
          <w:rFonts w:ascii="Times New Roman" w:hAnsi="Times New Roman" w:cs="Times New Roman"/>
          <w:sz w:val="24"/>
          <w:szCs w:val="24"/>
        </w:rPr>
        <w:t> </w:t>
      </w:r>
      <w:r>
        <w:rPr>
          <w:rFonts w:ascii="Times New Roman" w:hAnsi="Times New Roman" w:cs="Times New Roman"/>
          <w:sz w:val="24"/>
          <w:szCs w:val="24"/>
          <w:lang w:val="uk-UA"/>
        </w:rPr>
        <w:t>Сергіївської селищної ради вести облік та контроль пільгового контингенту, що відвідує заклад освіти,  приймати заяви про звільнення або зменшення розміру  батьківської плати при зверненні громадян, та відповідність документів до переліку, згідно  додатку 1</w:t>
      </w:r>
      <w:r w:rsidR="00AF6C3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FB4945" w:rsidRDefault="00FB4945" w:rsidP="00FB4945">
      <w:pPr>
        <w:tabs>
          <w:tab w:val="left" w:pos="900"/>
        </w:tabs>
        <w:spacing w:after="0"/>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9. Відділу  освіти, культури, молоді та спорту Сергіївської селищної ради забезпечити виконання даного рішення в межах коштів, передбачених бюджетом на заклади дошкільної та загальної середньої освіти </w:t>
      </w:r>
      <w:r w:rsidRPr="00AF6C31">
        <w:rPr>
          <w:rFonts w:ascii="Times New Roman" w:hAnsi="Times New Roman" w:cs="Times New Roman"/>
          <w:sz w:val="24"/>
          <w:szCs w:val="24"/>
          <w:lang w:val="uk-UA"/>
        </w:rPr>
        <w:t>на 2021 рік.</w:t>
      </w:r>
    </w:p>
    <w:p w:rsidR="00FB4945" w:rsidRDefault="00FB4945" w:rsidP="00FB4945">
      <w:pPr>
        <w:spacing w:after="0"/>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10. </w:t>
      </w:r>
      <w:r>
        <w:rPr>
          <w:rFonts w:ascii="Times New Roman" w:eastAsia="Times New Roman" w:hAnsi="Times New Roman" w:cs="Times New Roman"/>
          <w:sz w:val="24"/>
          <w:szCs w:val="24"/>
          <w:lang w:val="uk-UA"/>
        </w:rPr>
        <w:t xml:space="preserve">Контроль за виконанням цього рішення покласти на постійну </w:t>
      </w:r>
      <w:r>
        <w:rPr>
          <w:rFonts w:ascii="Times New Roman" w:eastAsia="Times New Roman" w:hAnsi="Times New Roman" w:cs="Times New Roman"/>
          <w:iCs/>
          <w:sz w:val="24"/>
          <w:szCs w:val="24"/>
          <w:lang w:val="uk-UA"/>
        </w:rPr>
        <w:t xml:space="preserve"> комісію з питань </w:t>
      </w:r>
      <w:r>
        <w:rPr>
          <w:rFonts w:ascii="Times New Roman" w:hAnsi="Times New Roman" w:cs="Times New Roman"/>
          <w:sz w:val="24"/>
          <w:szCs w:val="24"/>
          <w:lang w:val="uk-UA"/>
        </w:rPr>
        <w:t>планування, фінансів, бюджету, інвестиційної політики, міжнародних відносин, інформаційних технологій, культури, освіти, сім ї, молоді та  спорту.</w:t>
      </w:r>
    </w:p>
    <w:p w:rsidR="00FB4945" w:rsidRDefault="00FB4945" w:rsidP="00FB4945">
      <w:pPr>
        <w:spacing w:after="0"/>
        <w:ind w:firstLine="284"/>
        <w:jc w:val="both"/>
        <w:rPr>
          <w:rFonts w:ascii="Times New Roman" w:eastAsia="Times New Roman" w:hAnsi="Times New Roman" w:cs="Times New Roman"/>
          <w:iCs/>
          <w:sz w:val="24"/>
          <w:szCs w:val="24"/>
          <w:lang w:val="uk-UA"/>
        </w:rPr>
      </w:pPr>
    </w:p>
    <w:p w:rsidR="00FB4945" w:rsidRDefault="00FB4945" w:rsidP="00FB4945">
      <w:pPr>
        <w:spacing w:after="0" w:line="240" w:lineRule="auto"/>
        <w:rPr>
          <w:rFonts w:ascii="Times New Roman" w:eastAsiaTheme="minorHAnsi" w:hAnsi="Times New Roman"/>
          <w:sz w:val="24"/>
          <w:szCs w:val="24"/>
          <w:lang w:val="uk-UA" w:eastAsia="uk-UA"/>
        </w:rPr>
      </w:pPr>
    </w:p>
    <w:p w:rsidR="00FB4945" w:rsidRDefault="00AF6C31" w:rsidP="00AF6C31">
      <w:pPr>
        <w:tabs>
          <w:tab w:val="left" w:pos="5329"/>
        </w:tabs>
        <w:rPr>
          <w:rFonts w:ascii="Times New Roman" w:eastAsia="Calibri" w:hAnsi="Times New Roman" w:cs="Times New Roman"/>
          <w:b/>
          <w:sz w:val="24"/>
          <w:szCs w:val="20"/>
          <w:lang w:val="uk-UA"/>
        </w:rPr>
      </w:pPr>
      <w:r>
        <w:rPr>
          <w:rFonts w:ascii="Times New Roman" w:eastAsia="Calibri" w:hAnsi="Times New Roman" w:cs="Times New Roman"/>
          <w:b/>
          <w:sz w:val="24"/>
          <w:szCs w:val="20"/>
          <w:lang w:val="uk-UA"/>
        </w:rPr>
        <w:t>Селищний голова</w:t>
      </w:r>
      <w:r>
        <w:rPr>
          <w:rFonts w:ascii="Times New Roman" w:eastAsia="Calibri" w:hAnsi="Times New Roman" w:cs="Times New Roman"/>
          <w:b/>
          <w:sz w:val="24"/>
          <w:szCs w:val="20"/>
          <w:lang w:val="uk-UA"/>
        </w:rPr>
        <w:tab/>
        <w:t xml:space="preserve">          Анатолій ЧЕРЕДНИЧЕНКО</w:t>
      </w:r>
    </w:p>
    <w:p w:rsidR="00FB4945" w:rsidRDefault="00FB4945" w:rsidP="00FB4945">
      <w:pPr>
        <w:rPr>
          <w:rFonts w:ascii="Times New Roman" w:eastAsia="Calibri" w:hAnsi="Times New Roman" w:cs="Times New Roman"/>
          <w:b/>
          <w:sz w:val="24"/>
          <w:szCs w:val="20"/>
          <w:lang w:val="uk-UA"/>
        </w:rPr>
      </w:pPr>
    </w:p>
    <w:p w:rsidR="00FB4945" w:rsidRDefault="00FB4945" w:rsidP="00FB4945">
      <w:pPr>
        <w:rPr>
          <w:lang w:val="uk-UA"/>
        </w:rPr>
      </w:pPr>
    </w:p>
    <w:p w:rsidR="00340664" w:rsidRPr="00FB4945" w:rsidRDefault="00340664">
      <w:pPr>
        <w:rPr>
          <w:lang w:val="uk-UA"/>
        </w:rPr>
      </w:pPr>
    </w:p>
    <w:sectPr w:rsidR="00340664" w:rsidRPr="00FB49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1B4F"/>
    <w:multiLevelType w:val="hybridMultilevel"/>
    <w:tmpl w:val="C0F03FFE"/>
    <w:lvl w:ilvl="0" w:tplc="37ECB0F8">
      <w:start w:val="1"/>
      <w:numFmt w:val="decimal"/>
      <w:lvlText w:val="%1."/>
      <w:lvlJc w:val="left"/>
      <w:pPr>
        <w:ind w:left="809" w:hanging="525"/>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C9"/>
    <w:rsid w:val="000B7E19"/>
    <w:rsid w:val="00340664"/>
    <w:rsid w:val="003C05A0"/>
    <w:rsid w:val="003F345F"/>
    <w:rsid w:val="004D602F"/>
    <w:rsid w:val="00572151"/>
    <w:rsid w:val="005811FF"/>
    <w:rsid w:val="006C010D"/>
    <w:rsid w:val="006C442A"/>
    <w:rsid w:val="00712AC9"/>
    <w:rsid w:val="00713AFE"/>
    <w:rsid w:val="00791DC0"/>
    <w:rsid w:val="0097524A"/>
    <w:rsid w:val="009A4086"/>
    <w:rsid w:val="009B09A1"/>
    <w:rsid w:val="00A77380"/>
    <w:rsid w:val="00AF4C14"/>
    <w:rsid w:val="00AF6C31"/>
    <w:rsid w:val="00B20D4F"/>
    <w:rsid w:val="00BD0219"/>
    <w:rsid w:val="00BE4FFA"/>
    <w:rsid w:val="00CA7318"/>
    <w:rsid w:val="00DE0DAC"/>
    <w:rsid w:val="00EF0FF6"/>
    <w:rsid w:val="00F44977"/>
    <w:rsid w:val="00F73895"/>
    <w:rsid w:val="00FB2366"/>
    <w:rsid w:val="00FB4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945"/>
    <w:rPr>
      <w:rFonts w:eastAsiaTheme="minorEastAsia"/>
      <w:lang w:eastAsia="ru-RU"/>
    </w:rPr>
  </w:style>
  <w:style w:type="paragraph" w:styleId="4">
    <w:name w:val="heading 4"/>
    <w:basedOn w:val="a"/>
    <w:next w:val="a"/>
    <w:link w:val="40"/>
    <w:uiPriority w:val="9"/>
    <w:semiHidden/>
    <w:unhideWhenUsed/>
    <w:qFormat/>
    <w:rsid w:val="00FB494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FB4945"/>
    <w:rPr>
      <w:rFonts w:asciiTheme="majorHAnsi" w:eastAsiaTheme="majorEastAsia" w:hAnsiTheme="majorHAnsi" w:cstheme="majorBidi"/>
      <w:i/>
      <w:iCs/>
      <w:color w:val="365F91" w:themeColor="accent1" w:themeShade="BF"/>
      <w:lang w:eastAsia="ru-RU"/>
    </w:rPr>
  </w:style>
  <w:style w:type="paragraph" w:styleId="a3">
    <w:name w:val="Normal (Web)"/>
    <w:basedOn w:val="a"/>
    <w:uiPriority w:val="99"/>
    <w:semiHidden/>
    <w:unhideWhenUsed/>
    <w:rsid w:val="00FB494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FB4945"/>
    <w:pPr>
      <w:tabs>
        <w:tab w:val="center" w:pos="4677"/>
        <w:tab w:val="right" w:pos="9355"/>
      </w:tabs>
      <w:spacing w:after="0" w:line="240" w:lineRule="auto"/>
    </w:pPr>
    <w:rPr>
      <w:rFonts w:ascii="Calibri" w:eastAsia="Times New Roman" w:hAnsi="Calibri" w:cs="Calibri"/>
    </w:rPr>
  </w:style>
  <w:style w:type="character" w:customStyle="1" w:styleId="a5">
    <w:name w:val="Верхний колонтитул Знак"/>
    <w:basedOn w:val="a0"/>
    <w:link w:val="a4"/>
    <w:uiPriority w:val="99"/>
    <w:semiHidden/>
    <w:rsid w:val="00FB4945"/>
    <w:rPr>
      <w:rFonts w:ascii="Calibri" w:eastAsia="Times New Roman" w:hAnsi="Calibri" w:cs="Calibri"/>
      <w:lang w:eastAsia="ru-RU"/>
    </w:rPr>
  </w:style>
  <w:style w:type="paragraph" w:styleId="a6">
    <w:name w:val="No Spacing"/>
    <w:uiPriority w:val="1"/>
    <w:qFormat/>
    <w:rsid w:val="00FB4945"/>
    <w:pPr>
      <w:spacing w:after="0" w:line="240" w:lineRule="auto"/>
    </w:pPr>
  </w:style>
  <w:style w:type="paragraph" w:customStyle="1" w:styleId="1">
    <w:name w:val="Без интервала1"/>
    <w:uiPriority w:val="99"/>
    <w:rsid w:val="00FB4945"/>
    <w:pPr>
      <w:suppressAutoHyphens/>
      <w:spacing w:after="0" w:line="100" w:lineRule="atLeast"/>
    </w:pPr>
    <w:rPr>
      <w:rFonts w:ascii="Calibri" w:eastAsia="SimSun" w:hAnsi="Calibri" w:cs="Calibri"/>
      <w:kern w:val="2"/>
      <w:lang w:eastAsia="ar-SA"/>
    </w:rPr>
  </w:style>
  <w:style w:type="table" w:styleId="a7">
    <w:name w:val="Table Grid"/>
    <w:basedOn w:val="a1"/>
    <w:uiPriority w:val="39"/>
    <w:rsid w:val="00FB49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B494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B4945"/>
    <w:rPr>
      <w:rFonts w:ascii="Tahoma" w:eastAsiaTheme="minorEastAsia" w:hAnsi="Tahoma" w:cs="Tahoma"/>
      <w:sz w:val="16"/>
      <w:szCs w:val="16"/>
      <w:lang w:eastAsia="ru-RU"/>
    </w:rPr>
  </w:style>
  <w:style w:type="paragraph" w:styleId="aa">
    <w:name w:val="List Paragraph"/>
    <w:basedOn w:val="a"/>
    <w:uiPriority w:val="34"/>
    <w:qFormat/>
    <w:rsid w:val="00A773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945"/>
    <w:rPr>
      <w:rFonts w:eastAsiaTheme="minorEastAsia"/>
      <w:lang w:eastAsia="ru-RU"/>
    </w:rPr>
  </w:style>
  <w:style w:type="paragraph" w:styleId="4">
    <w:name w:val="heading 4"/>
    <w:basedOn w:val="a"/>
    <w:next w:val="a"/>
    <w:link w:val="40"/>
    <w:uiPriority w:val="9"/>
    <w:semiHidden/>
    <w:unhideWhenUsed/>
    <w:qFormat/>
    <w:rsid w:val="00FB494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FB4945"/>
    <w:rPr>
      <w:rFonts w:asciiTheme="majorHAnsi" w:eastAsiaTheme="majorEastAsia" w:hAnsiTheme="majorHAnsi" w:cstheme="majorBidi"/>
      <w:i/>
      <w:iCs/>
      <w:color w:val="365F91" w:themeColor="accent1" w:themeShade="BF"/>
      <w:lang w:eastAsia="ru-RU"/>
    </w:rPr>
  </w:style>
  <w:style w:type="paragraph" w:styleId="a3">
    <w:name w:val="Normal (Web)"/>
    <w:basedOn w:val="a"/>
    <w:uiPriority w:val="99"/>
    <w:semiHidden/>
    <w:unhideWhenUsed/>
    <w:rsid w:val="00FB494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FB4945"/>
    <w:pPr>
      <w:tabs>
        <w:tab w:val="center" w:pos="4677"/>
        <w:tab w:val="right" w:pos="9355"/>
      </w:tabs>
      <w:spacing w:after="0" w:line="240" w:lineRule="auto"/>
    </w:pPr>
    <w:rPr>
      <w:rFonts w:ascii="Calibri" w:eastAsia="Times New Roman" w:hAnsi="Calibri" w:cs="Calibri"/>
    </w:rPr>
  </w:style>
  <w:style w:type="character" w:customStyle="1" w:styleId="a5">
    <w:name w:val="Верхний колонтитул Знак"/>
    <w:basedOn w:val="a0"/>
    <w:link w:val="a4"/>
    <w:uiPriority w:val="99"/>
    <w:semiHidden/>
    <w:rsid w:val="00FB4945"/>
    <w:rPr>
      <w:rFonts w:ascii="Calibri" w:eastAsia="Times New Roman" w:hAnsi="Calibri" w:cs="Calibri"/>
      <w:lang w:eastAsia="ru-RU"/>
    </w:rPr>
  </w:style>
  <w:style w:type="paragraph" w:styleId="a6">
    <w:name w:val="No Spacing"/>
    <w:uiPriority w:val="1"/>
    <w:qFormat/>
    <w:rsid w:val="00FB4945"/>
    <w:pPr>
      <w:spacing w:after="0" w:line="240" w:lineRule="auto"/>
    </w:pPr>
  </w:style>
  <w:style w:type="paragraph" w:customStyle="1" w:styleId="1">
    <w:name w:val="Без интервала1"/>
    <w:uiPriority w:val="99"/>
    <w:rsid w:val="00FB4945"/>
    <w:pPr>
      <w:suppressAutoHyphens/>
      <w:spacing w:after="0" w:line="100" w:lineRule="atLeast"/>
    </w:pPr>
    <w:rPr>
      <w:rFonts w:ascii="Calibri" w:eastAsia="SimSun" w:hAnsi="Calibri" w:cs="Calibri"/>
      <w:kern w:val="2"/>
      <w:lang w:eastAsia="ar-SA"/>
    </w:rPr>
  </w:style>
  <w:style w:type="table" w:styleId="a7">
    <w:name w:val="Table Grid"/>
    <w:basedOn w:val="a1"/>
    <w:uiPriority w:val="39"/>
    <w:rsid w:val="00FB49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B494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B4945"/>
    <w:rPr>
      <w:rFonts w:ascii="Tahoma" w:eastAsiaTheme="minorEastAsia" w:hAnsi="Tahoma" w:cs="Tahoma"/>
      <w:sz w:val="16"/>
      <w:szCs w:val="16"/>
      <w:lang w:eastAsia="ru-RU"/>
    </w:rPr>
  </w:style>
  <w:style w:type="paragraph" w:styleId="aa">
    <w:name w:val="List Paragraph"/>
    <w:basedOn w:val="a"/>
    <w:uiPriority w:val="34"/>
    <w:qFormat/>
    <w:rsid w:val="00A77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08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Pages>
  <Words>903</Words>
  <Characters>5151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2021-07-23T08:46:00Z</cp:lastPrinted>
  <dcterms:created xsi:type="dcterms:W3CDTF">2021-07-15T11:15:00Z</dcterms:created>
  <dcterms:modified xsi:type="dcterms:W3CDTF">2021-08-05T07:52:00Z</dcterms:modified>
</cp:coreProperties>
</file>