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796" w:rsidRPr="00892796" w:rsidRDefault="00892796" w:rsidP="00892796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  <w:r w:rsidRPr="00892796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Додаток 5 до рішення </w:t>
      </w:r>
    </w:p>
    <w:p w:rsidR="00892796" w:rsidRPr="00892796" w:rsidRDefault="00892796" w:rsidP="00892796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  <w:r w:rsidRPr="00892796">
        <w:rPr>
          <w:rFonts w:ascii="Bookman Old Style" w:hAnsi="Bookman Old Style"/>
          <w:bCs/>
          <w:color w:val="000000"/>
          <w:sz w:val="22"/>
          <w:szCs w:val="22"/>
          <w:lang w:val="uk-UA"/>
        </w:rPr>
        <w:t>Щасливської сільської ради</w:t>
      </w:r>
    </w:p>
    <w:p w:rsidR="00892796" w:rsidRPr="00892796" w:rsidRDefault="0029416A" w:rsidP="00892796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  <w:r>
        <w:rPr>
          <w:rFonts w:ascii="Bookman Old Style" w:hAnsi="Bookman Old Style"/>
          <w:bCs/>
          <w:color w:val="000000"/>
          <w:sz w:val="22"/>
          <w:szCs w:val="22"/>
          <w:lang w:val="uk-UA"/>
        </w:rPr>
        <w:tab/>
        <w:t>від 25 червня 2020</w:t>
      </w:r>
      <w:r w:rsidR="00892796" w:rsidRPr="00892796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року </w:t>
      </w:r>
    </w:p>
    <w:p w:rsidR="00892796" w:rsidRPr="00892796" w:rsidRDefault="00892796" w:rsidP="00892796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  <w:r w:rsidRPr="00892796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№</w:t>
      </w:r>
      <w:r w:rsidR="00C22800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2335 </w:t>
      </w:r>
      <w:r w:rsidR="009E099F">
        <w:rPr>
          <w:rFonts w:ascii="Bookman Old Style" w:hAnsi="Bookman Old Style"/>
          <w:bCs/>
          <w:color w:val="000000"/>
          <w:sz w:val="22"/>
          <w:szCs w:val="22"/>
          <w:lang w:val="uk-UA"/>
        </w:rPr>
        <w:t>–</w:t>
      </w:r>
      <w:r w:rsidR="0029416A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50</w:t>
      </w:r>
      <w:r w:rsidR="009E099F">
        <w:rPr>
          <w:rFonts w:ascii="Bookman Old Style" w:hAnsi="Bookman Old Style"/>
          <w:bCs/>
          <w:color w:val="000000"/>
          <w:sz w:val="22"/>
          <w:szCs w:val="22"/>
          <w:lang w:val="uk-UA"/>
        </w:rPr>
        <w:t xml:space="preserve"> </w:t>
      </w:r>
      <w:r w:rsidRPr="00892796">
        <w:rPr>
          <w:rFonts w:ascii="Bookman Old Style" w:hAnsi="Bookman Old Style"/>
          <w:bCs/>
          <w:color w:val="000000"/>
          <w:sz w:val="22"/>
          <w:szCs w:val="22"/>
          <w:lang w:val="uk-UA"/>
        </w:rPr>
        <w:t>– VII</w:t>
      </w:r>
    </w:p>
    <w:p w:rsidR="00892796" w:rsidRPr="00892796" w:rsidRDefault="00892796" w:rsidP="00892796">
      <w:pPr>
        <w:shd w:val="clear" w:color="auto" w:fill="FFFFFF"/>
        <w:tabs>
          <w:tab w:val="left" w:pos="5860"/>
          <w:tab w:val="left" w:pos="6000"/>
        </w:tabs>
        <w:jc w:val="right"/>
        <w:rPr>
          <w:rFonts w:ascii="Bookman Old Style" w:hAnsi="Bookman Old Style"/>
          <w:bCs/>
          <w:color w:val="000000"/>
          <w:sz w:val="22"/>
          <w:szCs w:val="22"/>
          <w:lang w:val="uk-UA"/>
        </w:rPr>
      </w:pPr>
    </w:p>
    <w:p w:rsidR="00892796" w:rsidRPr="00892796" w:rsidRDefault="00892796" w:rsidP="00892796">
      <w:pPr>
        <w:shd w:val="clear" w:color="auto" w:fill="FFFFFF"/>
        <w:tabs>
          <w:tab w:val="left" w:pos="5860"/>
          <w:tab w:val="left" w:pos="6000"/>
        </w:tabs>
        <w:jc w:val="center"/>
        <w:rPr>
          <w:rFonts w:ascii="Bookman Old Style" w:hAnsi="Bookman Old Style"/>
          <w:b/>
          <w:color w:val="000000"/>
          <w:sz w:val="22"/>
          <w:szCs w:val="22"/>
          <w:lang w:val="uk-UA"/>
        </w:rPr>
      </w:pPr>
      <w:r w:rsidRPr="00892796">
        <w:rPr>
          <w:rFonts w:ascii="Bookman Old Style" w:hAnsi="Bookman Old Style"/>
          <w:b/>
          <w:color w:val="000000"/>
          <w:sz w:val="22"/>
          <w:szCs w:val="22"/>
          <w:lang w:val="uk-UA"/>
        </w:rPr>
        <w:t>Туристичний збір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  <w:t>1.</w:t>
      </w:r>
      <w:r w:rsidRPr="00965895"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  <w:tab/>
        <w:t>Платники збору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Платниками збору є громадяни України, іноземці, а також особи без громадянства, які прибувають на територію сіл Щасливе та Проліски, на якій діє рішення Щасливської сільської ради про встановлення туристичного збору, та отримують (споживають) послуги з тимчасового проживання (ночівлі).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Не є платниками збору особи, які: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а) постійно проживають, у тому числі на умовах договорів найму, у с. Щасливе та с. Проліски;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б) особи, які прибули у відрядження;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в) інваліди, діти-інваліди та особи, що супроводжують інвалідів I групи або дітей-інвалідів (не більше одного супроводжуючого);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г) ветерани війни;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ґ) учасники ліквідації наслідків аварії на Чорнобильській АЕС;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д) особи, які прибули за путівками (курсівками) на лікування, оздоровлення, реабілітацію до лікувально-профілактичних, фізкультурно-оздоровчих та санаторно-курортних закладів, що мають ліцензію на медичну практику та акредитацію центрального органу виконавчої влади, що реалізує державну політику у сфері охорони здоров’я;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е) діти віком до 18 років;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є) дитячі лікувально-профілактичні, фізкультурно-оздоровчі та санаторно-курортні заклади;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  <w:t>2. Місця проживання (ночівлі):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 xml:space="preserve">Справляння збору здійснюється з тимчасового розміщення у таких місцях проживання (ночівлі): готелі, кемпінги, мотелі, гуртожитки для приїжджих, </w:t>
      </w:r>
      <w:proofErr w:type="spellStart"/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хостели</w:t>
      </w:r>
      <w:proofErr w:type="spellEnd"/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 xml:space="preserve">, будинки відпочинку, туристичні бази, гірські притулки, табори для відпочинку, пансіонати та інші заклади готельного типу, санаторно-курортні заклади. 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  <w:t>3. База справляння збору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Базою справляння збору є загальна кількість діб тимчасового розміщення у місцях проживання (ночівлі).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  <w:t>4. Ставки збору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Ставки туристичного збору для внутрішнього туризму встановлюються для однієї особи за одну добу тимчасового розміщення особи у місцях проживання (ночівлі) у відсотках від розміру мінімальної заробітної плати, встановленої законом на 1 січня звітного (податкового) року, та складають: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•</w:t>
      </w: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ab/>
        <w:t xml:space="preserve">При вартості тимчасового розміщення для однієї особи за одну добу до 100 грн. включно - 0,1 відсотка. 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•</w:t>
      </w: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ab/>
        <w:t>При вартості тимчасового розміщення для однієї особи за одну добу від 101 грн. - 0,5 відсотка.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Ставки туристичного збору для в'їзного туризму встановлюються для однієї особи за одну добу тимчасового розміщення особи у місцях проживання (ночівлі) у відсотках від розміру мінімальної заробітної плати, встановленої законом на 1 січня звітного (податкового) року, та складають: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•</w:t>
      </w: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ab/>
        <w:t xml:space="preserve">При вартості тимчасового розміщення для однієї особи за одну добу до 100 грн. включно - 0,1 відсотка. 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•</w:t>
      </w: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ab/>
        <w:t>При вартості тимчасового розміщення для однієї особи за одну добу від 101 грн. - 0,5 відсотка.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  <w:lastRenderedPageBreak/>
        <w:t>5. Податкові агенти: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Справляння збору здійснюється такими податковими агентами: юридичними особами, філіями, відділеннями, іншими відокремленими підрозділами юридичних осіб згідно з підпунктом 268.7.2 пункту 268.7 статті 268 ПК України, фізичними особами-підприємцями, які надають послуги з тимчасового розміщення осіб у місцях проживання (ночівлі).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  <w:t>6. Порядок сплати збору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Податкові агенти сплачують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квартал.</w:t>
      </w: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965895" w:rsidRPr="00965895" w:rsidRDefault="00965895" w:rsidP="00965895">
      <w:pPr>
        <w:shd w:val="clear" w:color="auto" w:fill="FFFFFF"/>
        <w:jc w:val="both"/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b/>
          <w:bCs/>
          <w:color w:val="000000"/>
          <w:spacing w:val="4"/>
          <w:sz w:val="22"/>
          <w:szCs w:val="22"/>
          <w:lang w:val="uk-UA"/>
        </w:rPr>
        <w:t>7. Податковий період</w:t>
      </w:r>
    </w:p>
    <w:p w:rsidR="00B61A3D" w:rsidRDefault="00965895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 w:rsidRPr="00965895"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>Базовий податковий (звітний) період дорівнює календарному кварталу.</w:t>
      </w:r>
    </w:p>
    <w:p w:rsidR="0056767E" w:rsidRDefault="0056767E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56767E" w:rsidRDefault="0056767E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</w:p>
    <w:p w:rsidR="0056767E" w:rsidRDefault="0056767E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ab/>
      </w:r>
    </w:p>
    <w:p w:rsidR="0056767E" w:rsidRPr="008925DF" w:rsidRDefault="0056767E" w:rsidP="00965895">
      <w:pPr>
        <w:shd w:val="clear" w:color="auto" w:fill="FFFFFF"/>
        <w:jc w:val="both"/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</w:pPr>
      <w:r>
        <w:rPr>
          <w:rFonts w:ascii="Bookman Old Style" w:hAnsi="Bookman Old Style"/>
          <w:color w:val="000000"/>
          <w:spacing w:val="4"/>
          <w:sz w:val="22"/>
          <w:szCs w:val="22"/>
          <w:lang w:val="uk-UA"/>
        </w:rPr>
        <w:tab/>
      </w:r>
    </w:p>
    <w:sectPr w:rsidR="0056767E" w:rsidRPr="008925DF" w:rsidSect="008925DF">
      <w:pgSz w:w="11906" w:h="16838"/>
      <w:pgMar w:top="1135" w:right="991" w:bottom="568" w:left="1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53924"/>
    <w:multiLevelType w:val="hybridMultilevel"/>
    <w:tmpl w:val="E7FEA1C0"/>
    <w:lvl w:ilvl="0" w:tplc="890C376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DF705B"/>
    <w:multiLevelType w:val="multilevel"/>
    <w:tmpl w:val="6CDE1E84"/>
    <w:lvl w:ilvl="0">
      <w:start w:val="1"/>
      <w:numFmt w:val="decimal"/>
      <w:lvlText w:val="%1."/>
      <w:lvlJc w:val="left"/>
      <w:pPr>
        <w:ind w:left="9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">
    <w:nsid w:val="54A75CE4"/>
    <w:multiLevelType w:val="hybridMultilevel"/>
    <w:tmpl w:val="21982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803515"/>
    <w:multiLevelType w:val="hybridMultilevel"/>
    <w:tmpl w:val="16E24340"/>
    <w:lvl w:ilvl="0" w:tplc="837CC5C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3E90414"/>
    <w:multiLevelType w:val="multilevel"/>
    <w:tmpl w:val="71901E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C98229A"/>
    <w:multiLevelType w:val="multilevel"/>
    <w:tmpl w:val="3C5CFB8C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410FDF"/>
    <w:rsid w:val="000223EA"/>
    <w:rsid w:val="0005748E"/>
    <w:rsid w:val="00060526"/>
    <w:rsid w:val="00061B7B"/>
    <w:rsid w:val="00065133"/>
    <w:rsid w:val="00072306"/>
    <w:rsid w:val="000B3AAE"/>
    <w:rsid w:val="000B6BFF"/>
    <w:rsid w:val="000C4147"/>
    <w:rsid w:val="000C6D00"/>
    <w:rsid w:val="0010327F"/>
    <w:rsid w:val="0013668B"/>
    <w:rsid w:val="001C4AE8"/>
    <w:rsid w:val="00205739"/>
    <w:rsid w:val="0022459D"/>
    <w:rsid w:val="00226AEF"/>
    <w:rsid w:val="00230B3A"/>
    <w:rsid w:val="00240AF6"/>
    <w:rsid w:val="00244595"/>
    <w:rsid w:val="00250215"/>
    <w:rsid w:val="00266333"/>
    <w:rsid w:val="0028265A"/>
    <w:rsid w:val="0029416A"/>
    <w:rsid w:val="002A7D1C"/>
    <w:rsid w:val="002B6471"/>
    <w:rsid w:val="002F1F36"/>
    <w:rsid w:val="003260CE"/>
    <w:rsid w:val="00360C33"/>
    <w:rsid w:val="003733F0"/>
    <w:rsid w:val="00387D7B"/>
    <w:rsid w:val="003B29F3"/>
    <w:rsid w:val="003C5F5D"/>
    <w:rsid w:val="003D5578"/>
    <w:rsid w:val="003F73BD"/>
    <w:rsid w:val="00406A51"/>
    <w:rsid w:val="00410FDF"/>
    <w:rsid w:val="00414823"/>
    <w:rsid w:val="00444714"/>
    <w:rsid w:val="00445675"/>
    <w:rsid w:val="00476B59"/>
    <w:rsid w:val="004E04CD"/>
    <w:rsid w:val="004E0D3E"/>
    <w:rsid w:val="00502F6E"/>
    <w:rsid w:val="005044B9"/>
    <w:rsid w:val="005256C7"/>
    <w:rsid w:val="005411CB"/>
    <w:rsid w:val="00542675"/>
    <w:rsid w:val="00547AE2"/>
    <w:rsid w:val="0056767E"/>
    <w:rsid w:val="005914E6"/>
    <w:rsid w:val="005C49FF"/>
    <w:rsid w:val="005D7A73"/>
    <w:rsid w:val="005E1F5A"/>
    <w:rsid w:val="005E3D10"/>
    <w:rsid w:val="005E3EF7"/>
    <w:rsid w:val="005F19CE"/>
    <w:rsid w:val="005F716D"/>
    <w:rsid w:val="0062253B"/>
    <w:rsid w:val="0062567D"/>
    <w:rsid w:val="0065475C"/>
    <w:rsid w:val="00687C26"/>
    <w:rsid w:val="006B17A9"/>
    <w:rsid w:val="006C3CBE"/>
    <w:rsid w:val="006E4969"/>
    <w:rsid w:val="006E594A"/>
    <w:rsid w:val="007556A6"/>
    <w:rsid w:val="00762271"/>
    <w:rsid w:val="007B3F30"/>
    <w:rsid w:val="007D17EC"/>
    <w:rsid w:val="007D7DEE"/>
    <w:rsid w:val="008014F3"/>
    <w:rsid w:val="00834BF5"/>
    <w:rsid w:val="00862A99"/>
    <w:rsid w:val="00867CD3"/>
    <w:rsid w:val="00880D7C"/>
    <w:rsid w:val="008925DF"/>
    <w:rsid w:val="00892796"/>
    <w:rsid w:val="008C45BD"/>
    <w:rsid w:val="008D01E8"/>
    <w:rsid w:val="00903B11"/>
    <w:rsid w:val="0090706C"/>
    <w:rsid w:val="00935AE0"/>
    <w:rsid w:val="00965895"/>
    <w:rsid w:val="009A61E6"/>
    <w:rsid w:val="009C1813"/>
    <w:rsid w:val="009C27D6"/>
    <w:rsid w:val="009E099F"/>
    <w:rsid w:val="009E6D40"/>
    <w:rsid w:val="009E7745"/>
    <w:rsid w:val="00A04280"/>
    <w:rsid w:val="00A16F8A"/>
    <w:rsid w:val="00A229ED"/>
    <w:rsid w:val="00A54EBB"/>
    <w:rsid w:val="00A74999"/>
    <w:rsid w:val="00A9545D"/>
    <w:rsid w:val="00AE5612"/>
    <w:rsid w:val="00B500DF"/>
    <w:rsid w:val="00B61A3D"/>
    <w:rsid w:val="00B716FA"/>
    <w:rsid w:val="00B86B5C"/>
    <w:rsid w:val="00BE5DB5"/>
    <w:rsid w:val="00BF7D2D"/>
    <w:rsid w:val="00C217E8"/>
    <w:rsid w:val="00C22800"/>
    <w:rsid w:val="00C518D2"/>
    <w:rsid w:val="00CC5745"/>
    <w:rsid w:val="00CC7882"/>
    <w:rsid w:val="00CE1AB3"/>
    <w:rsid w:val="00CE3E7F"/>
    <w:rsid w:val="00D074A6"/>
    <w:rsid w:val="00D14A60"/>
    <w:rsid w:val="00D15194"/>
    <w:rsid w:val="00D33FEB"/>
    <w:rsid w:val="00DB4A17"/>
    <w:rsid w:val="00DC222A"/>
    <w:rsid w:val="00DD11E6"/>
    <w:rsid w:val="00DD456D"/>
    <w:rsid w:val="00DE775D"/>
    <w:rsid w:val="00E25901"/>
    <w:rsid w:val="00E75115"/>
    <w:rsid w:val="00E80569"/>
    <w:rsid w:val="00E9450F"/>
    <w:rsid w:val="00F116EA"/>
    <w:rsid w:val="00F177F6"/>
    <w:rsid w:val="00F25E92"/>
    <w:rsid w:val="00F64139"/>
    <w:rsid w:val="00F74101"/>
    <w:rsid w:val="00F901E9"/>
    <w:rsid w:val="00FA7252"/>
    <w:rsid w:val="00FB2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ind w:left="420"/>
      <w:jc w:val="both"/>
      <w:outlineLvl w:val="1"/>
    </w:pPr>
    <w:rPr>
      <w:sz w:val="24"/>
      <w:lang w:val="uk-UA"/>
    </w:rPr>
  </w:style>
  <w:style w:type="paragraph" w:styleId="3">
    <w:name w:val="heading 3"/>
    <w:basedOn w:val="a"/>
    <w:next w:val="a"/>
    <w:qFormat/>
    <w:pPr>
      <w:keepNext/>
      <w:ind w:left="420"/>
      <w:outlineLvl w:val="2"/>
    </w:pPr>
    <w:rPr>
      <w:sz w:val="24"/>
      <w:lang w:val="uk-UA"/>
    </w:rPr>
  </w:style>
  <w:style w:type="paragraph" w:styleId="4">
    <w:name w:val="heading 4"/>
    <w:basedOn w:val="a"/>
    <w:next w:val="a"/>
    <w:qFormat/>
    <w:pPr>
      <w:keepNext/>
      <w:ind w:left="420"/>
      <w:outlineLvl w:val="3"/>
    </w:pPr>
    <w:rPr>
      <w:b/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pPr>
      <w:ind w:firstLine="1134"/>
      <w:jc w:val="both"/>
    </w:pPr>
    <w:rPr>
      <w:sz w:val="24"/>
      <w:lang w:val="uk-UA"/>
    </w:rPr>
  </w:style>
  <w:style w:type="paragraph" w:styleId="20">
    <w:name w:val="Body Text Indent 2"/>
    <w:basedOn w:val="a"/>
    <w:pPr>
      <w:ind w:firstLine="1134"/>
      <w:jc w:val="center"/>
    </w:pPr>
    <w:rPr>
      <w:rFonts w:ascii="Bookman Old Style" w:hAnsi="Bookman Old Style"/>
      <w:b/>
      <w:sz w:val="24"/>
      <w:lang w:val="uk-UA"/>
    </w:rPr>
  </w:style>
  <w:style w:type="paragraph" w:styleId="30">
    <w:name w:val="Body Text Indent 3"/>
    <w:basedOn w:val="a"/>
    <w:pPr>
      <w:ind w:right="468" w:firstLine="1134"/>
      <w:jc w:val="both"/>
    </w:pPr>
    <w:rPr>
      <w:rFonts w:ascii="Bookman Old Style" w:hAnsi="Bookman Old Style"/>
      <w:sz w:val="22"/>
      <w:lang w:val="uk-UA"/>
    </w:rPr>
  </w:style>
  <w:style w:type="paragraph" w:customStyle="1" w:styleId="rvps2">
    <w:name w:val="rvps2"/>
    <w:basedOn w:val="a"/>
    <w:rsid w:val="00FB24B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FB24BC"/>
  </w:style>
  <w:style w:type="character" w:styleId="a5">
    <w:name w:val="Hyperlink"/>
    <w:uiPriority w:val="99"/>
    <w:unhideWhenUsed/>
    <w:rsid w:val="00FB24BC"/>
    <w:rPr>
      <w:color w:val="0000FF"/>
      <w:u w:val="single"/>
    </w:rPr>
  </w:style>
  <w:style w:type="character" w:customStyle="1" w:styleId="a4">
    <w:name w:val="Основной текст с отступом Знак"/>
    <w:link w:val="a3"/>
    <w:rsid w:val="00D15194"/>
    <w:rPr>
      <w:sz w:val="24"/>
      <w:lang w:val="uk-UA"/>
    </w:rPr>
  </w:style>
  <w:style w:type="paragraph" w:customStyle="1" w:styleId="western">
    <w:name w:val="western"/>
    <w:basedOn w:val="a"/>
    <w:rsid w:val="00DD45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6">
    <w:name w:val="Normal (Web)"/>
    <w:basedOn w:val="a"/>
    <w:rsid w:val="00DD45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DD456D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934C8-4AA3-4719-B222-9B84BA27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2143</Words>
  <Characters>1222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2</Company>
  <LinksUpToDate>false</LinksUpToDate>
  <CharactersWithSpaces>3359</CharactersWithSpaces>
  <SharedDoc>false</SharedDoc>
  <HLinks>
    <vt:vector size="6" baseType="variant">
      <vt:variant>
        <vt:i4>2293806</vt:i4>
      </vt:variant>
      <vt:variant>
        <vt:i4>0</vt:i4>
      </vt:variant>
      <vt:variant>
        <vt:i4>0</vt:i4>
      </vt:variant>
      <vt:variant>
        <vt:i4>5</vt:i4>
      </vt:variant>
      <vt:variant>
        <vt:lpwstr>http://zakon0.rada.gov.ua/laws/show/2456-17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home</cp:lastModifiedBy>
  <cp:revision>2</cp:revision>
  <cp:lastPrinted>2017-10-17T07:00:00Z</cp:lastPrinted>
  <dcterms:created xsi:type="dcterms:W3CDTF">2020-07-13T16:25:00Z</dcterms:created>
  <dcterms:modified xsi:type="dcterms:W3CDTF">2020-07-13T16:25:00Z</dcterms:modified>
</cp:coreProperties>
</file>