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CF5" w:rsidRDefault="00B91CF5" w:rsidP="00B91CF5">
      <w:pPr>
        <w:pStyle w:val="a3"/>
        <w:spacing w:line="360" w:lineRule="auto"/>
        <w:rPr>
          <w:b/>
          <w:sz w:val="24"/>
          <w:szCs w:val="24"/>
        </w:rPr>
      </w:pPr>
      <w:r>
        <w:rPr>
          <w:rFonts w:ascii="UkrainianBaltica" w:hAnsi="UkrainianBaltica"/>
          <w:b/>
          <w:noProof/>
          <w:sz w:val="24"/>
          <w:szCs w:val="24"/>
          <w:lang w:val="ru-RU"/>
        </w:rPr>
        <w:drawing>
          <wp:inline distT="0" distB="0" distL="0" distR="0">
            <wp:extent cx="4381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91CF5" w:rsidRDefault="00B91CF5" w:rsidP="00B91CF5">
      <w:pPr>
        <w:pStyle w:val="a3"/>
        <w:rPr>
          <w:b/>
          <w:sz w:val="24"/>
          <w:szCs w:val="24"/>
        </w:rPr>
      </w:pPr>
      <w:r>
        <w:rPr>
          <w:b/>
          <w:sz w:val="24"/>
          <w:szCs w:val="24"/>
        </w:rPr>
        <w:t>УКРАЇНА</w:t>
      </w:r>
    </w:p>
    <w:p w:rsidR="00B91CF5" w:rsidRDefault="00B91CF5" w:rsidP="00B91CF5">
      <w:pPr>
        <w:pStyle w:val="a3"/>
        <w:rPr>
          <w:b/>
          <w:sz w:val="24"/>
          <w:szCs w:val="24"/>
        </w:rPr>
      </w:pPr>
      <w:r>
        <w:rPr>
          <w:b/>
          <w:sz w:val="24"/>
          <w:szCs w:val="24"/>
        </w:rPr>
        <w:t>МАГАЛЬСЬКА СІЛЬСЬКА РАДА</w:t>
      </w:r>
    </w:p>
    <w:p w:rsidR="00B91CF5" w:rsidRDefault="00B91CF5" w:rsidP="00B91CF5">
      <w:pPr>
        <w:pStyle w:val="a3"/>
        <w:pBdr>
          <w:bottom w:val="single" w:sz="12" w:space="1" w:color="auto"/>
        </w:pBdr>
        <w:rPr>
          <w:b/>
          <w:sz w:val="24"/>
          <w:szCs w:val="24"/>
        </w:rPr>
      </w:pPr>
      <w:r>
        <w:rPr>
          <w:b/>
          <w:sz w:val="24"/>
          <w:szCs w:val="24"/>
        </w:rPr>
        <w:t>ЧЕРНІВЕЦЬКОГО РАЙОНУ ЧЕРНІВЕЦЬКОЇ ОБЛАСТІ</w:t>
      </w:r>
    </w:p>
    <w:p w:rsidR="00B91CF5" w:rsidRDefault="00B91CF5" w:rsidP="00B91CF5">
      <w:pPr>
        <w:tabs>
          <w:tab w:val="left" w:pos="1080"/>
          <w:tab w:val="left" w:pos="4080"/>
        </w:tabs>
        <w:rPr>
          <w:b/>
          <w:lang w:val="ru-RU"/>
        </w:rPr>
      </w:pPr>
      <w:r>
        <w:rPr>
          <w:b/>
        </w:rPr>
        <w:t>17.</w:t>
      </w:r>
      <w:r>
        <w:rPr>
          <w:b/>
          <w:lang w:val="ru-RU"/>
        </w:rPr>
        <w:t>12</w:t>
      </w:r>
      <w:r>
        <w:rPr>
          <w:b/>
        </w:rPr>
        <w:t xml:space="preserve">.2021  р.                                                              13 сесія 8 скликання </w:t>
      </w:r>
    </w:p>
    <w:p w:rsidR="00B91CF5" w:rsidRDefault="00B91CF5" w:rsidP="00B91CF5">
      <w:pPr>
        <w:tabs>
          <w:tab w:val="left" w:pos="4080"/>
        </w:tabs>
        <w:rPr>
          <w:b/>
          <w:lang w:val="ru-RU"/>
        </w:rPr>
      </w:pPr>
    </w:p>
    <w:p w:rsidR="00B91CF5" w:rsidRDefault="00B91CF5" w:rsidP="00B91CF5">
      <w:pPr>
        <w:tabs>
          <w:tab w:val="left" w:pos="4080"/>
        </w:tabs>
        <w:jc w:val="center"/>
        <w:rPr>
          <w:b/>
          <w:lang w:val="ru-RU"/>
        </w:rPr>
      </w:pPr>
      <w:r>
        <w:rPr>
          <w:b/>
        </w:rPr>
        <w:t xml:space="preserve">Р І Ш Е Н </w:t>
      </w:r>
      <w:proofErr w:type="spellStart"/>
      <w:r>
        <w:rPr>
          <w:b/>
        </w:rPr>
        <w:t>Н</w:t>
      </w:r>
      <w:proofErr w:type="spellEnd"/>
      <w:r>
        <w:rPr>
          <w:b/>
        </w:rPr>
        <w:t xml:space="preserve"> Я   №1-13/21</w:t>
      </w:r>
    </w:p>
    <w:p w:rsidR="00B91CF5" w:rsidRDefault="00B91CF5" w:rsidP="00B91CF5">
      <w:pPr>
        <w:autoSpaceDE w:val="0"/>
        <w:jc w:val="both"/>
        <w:rPr>
          <w:rFonts w:ascii="TimesNewRoman" w:hAnsi="TimesNewRoman" w:cs="TimesNewRoman"/>
          <w:b/>
          <w:bCs/>
          <w:i/>
          <w:iCs/>
          <w:sz w:val="18"/>
          <w:szCs w:val="18"/>
          <w:lang w:val="ru-RU"/>
        </w:rPr>
      </w:pPr>
    </w:p>
    <w:p w:rsidR="00B91CF5" w:rsidRDefault="00B91CF5" w:rsidP="00B91CF5">
      <w:pPr>
        <w:rPr>
          <w:rFonts w:hint="eastAsia"/>
          <w:lang w:val="ru-RU"/>
        </w:rPr>
      </w:pPr>
    </w:p>
    <w:p w:rsidR="00B91CF5" w:rsidRDefault="00B91CF5" w:rsidP="00B91CF5">
      <w:pPr>
        <w:pStyle w:val="a5"/>
        <w:jc w:val="both"/>
        <w:rPr>
          <w:rFonts w:ascii="Times New Roman" w:hAnsi="Times New Roman"/>
          <w:b/>
          <w:sz w:val="28"/>
          <w:szCs w:val="28"/>
        </w:rPr>
      </w:pPr>
      <w:r>
        <w:rPr>
          <w:rFonts w:ascii="Times New Roman" w:hAnsi="Times New Roman"/>
          <w:b/>
          <w:sz w:val="28"/>
          <w:szCs w:val="28"/>
        </w:rPr>
        <w:t xml:space="preserve">Про затвердження «Програми </w:t>
      </w:r>
    </w:p>
    <w:p w:rsidR="00B91CF5" w:rsidRDefault="00B91CF5" w:rsidP="00B91CF5">
      <w:pPr>
        <w:pStyle w:val="a5"/>
        <w:jc w:val="both"/>
        <w:rPr>
          <w:rFonts w:ascii="Times New Roman" w:hAnsi="Times New Roman"/>
          <w:b/>
          <w:sz w:val="28"/>
          <w:szCs w:val="28"/>
          <w:lang w:eastAsia="ru-RU"/>
        </w:rPr>
      </w:pPr>
      <w:r>
        <w:rPr>
          <w:rFonts w:ascii="Times New Roman" w:hAnsi="Times New Roman"/>
          <w:b/>
          <w:sz w:val="28"/>
          <w:szCs w:val="28"/>
          <w:lang w:eastAsia="ru-RU"/>
        </w:rPr>
        <w:t xml:space="preserve">благоустрою населених пунктів </w:t>
      </w:r>
    </w:p>
    <w:p w:rsidR="00B91CF5" w:rsidRDefault="00B91CF5" w:rsidP="00B91CF5">
      <w:pPr>
        <w:pStyle w:val="a5"/>
        <w:jc w:val="both"/>
        <w:rPr>
          <w:rFonts w:ascii="Times New Roman" w:hAnsi="Times New Roman"/>
          <w:b/>
          <w:sz w:val="28"/>
          <w:szCs w:val="28"/>
          <w:lang w:eastAsia="ru-RU"/>
        </w:rPr>
      </w:pPr>
      <w:proofErr w:type="spellStart"/>
      <w:r>
        <w:rPr>
          <w:rFonts w:ascii="Times New Roman" w:hAnsi="Times New Roman"/>
          <w:b/>
          <w:sz w:val="28"/>
          <w:szCs w:val="28"/>
          <w:lang w:eastAsia="ru-RU"/>
        </w:rPr>
        <w:t>Магальської</w:t>
      </w:r>
      <w:proofErr w:type="spellEnd"/>
      <w:r>
        <w:rPr>
          <w:rFonts w:ascii="Times New Roman" w:hAnsi="Times New Roman"/>
          <w:b/>
          <w:sz w:val="28"/>
          <w:szCs w:val="28"/>
          <w:lang w:eastAsia="ru-RU"/>
        </w:rPr>
        <w:t xml:space="preserve"> сільської ради </w:t>
      </w:r>
    </w:p>
    <w:p w:rsidR="00B91CF5" w:rsidRDefault="00B91CF5" w:rsidP="00B91CF5">
      <w:pPr>
        <w:pStyle w:val="a5"/>
        <w:jc w:val="both"/>
        <w:rPr>
          <w:rFonts w:ascii="Times New Roman" w:hAnsi="Times New Roman"/>
          <w:b/>
          <w:sz w:val="28"/>
          <w:szCs w:val="28"/>
          <w:lang w:eastAsia="ru-RU"/>
        </w:rPr>
      </w:pPr>
      <w:r>
        <w:rPr>
          <w:rFonts w:ascii="Times New Roman" w:hAnsi="Times New Roman"/>
          <w:b/>
          <w:sz w:val="28"/>
          <w:szCs w:val="28"/>
          <w:lang w:eastAsia="ru-RU"/>
        </w:rPr>
        <w:t>на 20</w:t>
      </w:r>
      <w:r>
        <w:rPr>
          <w:rFonts w:ascii="Times New Roman" w:hAnsi="Times New Roman"/>
          <w:b/>
          <w:sz w:val="28"/>
          <w:szCs w:val="28"/>
          <w:lang w:val="ru-RU" w:eastAsia="ru-RU"/>
        </w:rPr>
        <w:t>2</w:t>
      </w:r>
      <w:r>
        <w:rPr>
          <w:rFonts w:ascii="Times New Roman" w:hAnsi="Times New Roman"/>
          <w:b/>
          <w:sz w:val="28"/>
          <w:szCs w:val="28"/>
          <w:lang w:eastAsia="ru-RU"/>
        </w:rPr>
        <w:t>2-2024 роки»</w:t>
      </w:r>
    </w:p>
    <w:p w:rsidR="00B91CF5" w:rsidRDefault="00B91CF5" w:rsidP="00B91CF5">
      <w:pPr>
        <w:tabs>
          <w:tab w:val="left" w:pos="3900"/>
        </w:tabs>
        <w:ind w:right="5155"/>
        <w:jc w:val="both"/>
        <w:rPr>
          <w:b/>
          <w:szCs w:val="28"/>
        </w:rPr>
      </w:pPr>
    </w:p>
    <w:p w:rsidR="00B91CF5" w:rsidRDefault="00B91CF5" w:rsidP="00B91CF5">
      <w:pPr>
        <w:pStyle w:val="a5"/>
        <w:ind w:firstLine="708"/>
        <w:jc w:val="both"/>
        <w:rPr>
          <w:rFonts w:ascii="Times New Roman" w:hAnsi="Times New Roman"/>
          <w:sz w:val="28"/>
          <w:szCs w:val="28"/>
          <w:lang w:eastAsia="ru-RU"/>
        </w:rPr>
      </w:pPr>
      <w:r>
        <w:rPr>
          <w:rFonts w:ascii="Times New Roman" w:hAnsi="Times New Roman"/>
          <w:sz w:val="28"/>
          <w:szCs w:val="28"/>
        </w:rPr>
        <w:t xml:space="preserve">Керуючись пунктом 22 частини 1 статті 26 Закону України «Про місцеве самоврядування в Україні», враховуючи </w:t>
      </w:r>
      <w:r>
        <w:rPr>
          <w:rFonts w:ascii="Times New Roman" w:hAnsi="Times New Roman"/>
          <w:sz w:val="28"/>
          <w:szCs w:val="28"/>
          <w:lang w:eastAsia="ru-RU"/>
        </w:rPr>
        <w:t>накопичення проблем, пов’язаних із недостатнім рівнем та несистематичним проведенням заходів у сфері благоустрою, які потребують термінового вирішення</w:t>
      </w:r>
      <w:r>
        <w:t>,</w:t>
      </w:r>
      <w:r>
        <w:rPr>
          <w:color w:val="000000"/>
        </w:rPr>
        <w:t xml:space="preserve">  </w:t>
      </w:r>
      <w:proofErr w:type="spellStart"/>
      <w:r>
        <w:rPr>
          <w:rFonts w:ascii="Times New Roman" w:hAnsi="Times New Roman"/>
          <w:sz w:val="28"/>
          <w:szCs w:val="28"/>
        </w:rPr>
        <w:t>Магальська</w:t>
      </w:r>
      <w:proofErr w:type="spellEnd"/>
      <w:r>
        <w:rPr>
          <w:rFonts w:ascii="Times New Roman" w:hAnsi="Times New Roman"/>
          <w:sz w:val="28"/>
          <w:szCs w:val="28"/>
        </w:rPr>
        <w:t xml:space="preserve"> сільська  рада</w:t>
      </w:r>
    </w:p>
    <w:p w:rsidR="00B91CF5" w:rsidRDefault="00B91CF5" w:rsidP="00B91CF5">
      <w:pPr>
        <w:jc w:val="both"/>
      </w:pPr>
    </w:p>
    <w:p w:rsidR="00B91CF5" w:rsidRDefault="00B91CF5" w:rsidP="00B91CF5">
      <w:pPr>
        <w:ind w:firstLine="720"/>
        <w:jc w:val="center"/>
        <w:rPr>
          <w:b/>
        </w:rPr>
      </w:pPr>
      <w:r>
        <w:rPr>
          <w:b/>
        </w:rPr>
        <w:t>В И Р І Ш И Л А:</w:t>
      </w:r>
    </w:p>
    <w:p w:rsidR="00B91CF5" w:rsidRDefault="00B91CF5" w:rsidP="00B91CF5">
      <w:pPr>
        <w:ind w:firstLine="720"/>
      </w:pPr>
    </w:p>
    <w:p w:rsidR="00B91CF5" w:rsidRDefault="00B91CF5" w:rsidP="00B91CF5">
      <w:pPr>
        <w:autoSpaceDE w:val="0"/>
        <w:jc w:val="both"/>
      </w:pPr>
      <w:r>
        <w:t xml:space="preserve">        1. Затвердити «Програму благоустрою населених пунктів </w:t>
      </w:r>
      <w:proofErr w:type="spellStart"/>
      <w:r>
        <w:t>Магальської</w:t>
      </w:r>
      <w:proofErr w:type="spellEnd"/>
      <w:r>
        <w:t xml:space="preserve"> сільської ради на 20</w:t>
      </w:r>
      <w:r>
        <w:rPr>
          <w:lang w:val="ru-RU"/>
        </w:rPr>
        <w:t>2</w:t>
      </w:r>
      <w:r>
        <w:t xml:space="preserve">2-2024 роки». </w:t>
      </w:r>
    </w:p>
    <w:p w:rsidR="00B91CF5" w:rsidRDefault="00B91CF5" w:rsidP="00B91CF5">
      <w:pPr>
        <w:autoSpaceDE w:val="0"/>
        <w:jc w:val="both"/>
      </w:pPr>
    </w:p>
    <w:p w:rsidR="00B91CF5" w:rsidRDefault="00B91CF5" w:rsidP="00B91CF5">
      <w:pPr>
        <w:jc w:val="both"/>
      </w:pPr>
      <w:r>
        <w:t xml:space="preserve">        2. Контроль за виконанням даного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(голова комісії </w:t>
      </w:r>
      <w:proofErr w:type="spellStart"/>
      <w:r>
        <w:t>Дробот</w:t>
      </w:r>
      <w:proofErr w:type="spellEnd"/>
      <w:r>
        <w:t xml:space="preserve"> В.Г.).</w:t>
      </w:r>
    </w:p>
    <w:p w:rsidR="00B91CF5" w:rsidRDefault="00B91CF5" w:rsidP="00B91CF5"/>
    <w:p w:rsidR="00B91CF5" w:rsidRDefault="00B91CF5" w:rsidP="00B91CF5"/>
    <w:p w:rsidR="00B91CF5" w:rsidRDefault="00B91CF5" w:rsidP="00B91CF5"/>
    <w:p w:rsidR="00B91CF5" w:rsidRDefault="00B91CF5" w:rsidP="00B91CF5"/>
    <w:p w:rsidR="00B91CF5" w:rsidRDefault="00B91CF5" w:rsidP="00B91CF5">
      <w:pPr>
        <w:tabs>
          <w:tab w:val="left" w:pos="7620"/>
        </w:tabs>
        <w:spacing w:before="100" w:beforeAutospacing="1" w:after="100" w:afterAutospacing="1"/>
        <w:rPr>
          <w:szCs w:val="28"/>
        </w:rPr>
      </w:pPr>
      <w:r>
        <w:rPr>
          <w:b/>
          <w:bCs/>
          <w:szCs w:val="28"/>
        </w:rPr>
        <w:t>СІЛЬСЬКИЙ ГОЛОВА                                              Степан САІНЧУК</w:t>
      </w:r>
    </w:p>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 w:rsidR="00B91CF5" w:rsidRDefault="00B91CF5" w:rsidP="00B91CF5">
      <w:pPr>
        <w:jc w:val="right"/>
      </w:pPr>
      <w:r>
        <w:t>ЗАТВЕРДЖЕНО</w:t>
      </w:r>
    </w:p>
    <w:p w:rsidR="00B91CF5" w:rsidRDefault="00B91CF5" w:rsidP="00B91CF5">
      <w:pPr>
        <w:jc w:val="right"/>
      </w:pPr>
      <w:r>
        <w:t xml:space="preserve">    </w:t>
      </w:r>
      <w:r>
        <w:tab/>
      </w:r>
      <w:r>
        <w:tab/>
      </w:r>
      <w:r>
        <w:tab/>
      </w:r>
      <w:r>
        <w:tab/>
      </w:r>
      <w:r>
        <w:tab/>
      </w:r>
      <w:r>
        <w:tab/>
      </w:r>
      <w:r>
        <w:tab/>
      </w:r>
      <w:r>
        <w:tab/>
        <w:t xml:space="preserve">Рішенням 13 сесії 8 скликання          </w:t>
      </w:r>
    </w:p>
    <w:p w:rsidR="00B91CF5" w:rsidRDefault="00B91CF5" w:rsidP="00B91CF5">
      <w:pPr>
        <w:jc w:val="right"/>
      </w:pPr>
      <w:proofErr w:type="spellStart"/>
      <w:r>
        <w:t>Магальської</w:t>
      </w:r>
      <w:proofErr w:type="spellEnd"/>
      <w:r>
        <w:t xml:space="preserve"> сільської ради</w:t>
      </w:r>
    </w:p>
    <w:p w:rsidR="00B91CF5" w:rsidRDefault="00B91CF5" w:rsidP="00B91CF5">
      <w:pPr>
        <w:jc w:val="right"/>
      </w:pPr>
      <w:r>
        <w:t xml:space="preserve">                                                                                 від 17.12.2021 року № 1-13/21</w:t>
      </w:r>
    </w:p>
    <w:p w:rsidR="00B91CF5" w:rsidRDefault="00B91CF5" w:rsidP="00B91CF5">
      <w:pPr>
        <w:pStyle w:val="a5"/>
        <w:jc w:val="right"/>
        <w:rPr>
          <w:rFonts w:ascii="Times New Roman" w:hAnsi="Times New Roman"/>
          <w:sz w:val="24"/>
          <w:szCs w:val="24"/>
          <w:lang w:eastAsia="ru-RU"/>
        </w:rPr>
      </w:pPr>
      <w:r>
        <w:rPr>
          <w:rFonts w:ascii="Arial" w:hAnsi="Arial" w:cs="Arial"/>
          <w:lang w:eastAsia="ru-RU"/>
        </w:rPr>
        <w:br/>
      </w:r>
      <w:r>
        <w:rPr>
          <w:rFonts w:ascii="Arial" w:hAnsi="Arial" w:cs="Arial"/>
          <w:lang w:val="ru-RU" w:eastAsia="ru-RU"/>
        </w:rPr>
        <w:t> </w:t>
      </w:r>
    </w:p>
    <w:p w:rsidR="00B91CF5" w:rsidRDefault="00B91CF5" w:rsidP="00B91CF5">
      <w:pPr>
        <w:pStyle w:val="a5"/>
        <w:outlineLvl w:val="0"/>
        <w:rPr>
          <w:rFonts w:ascii="Times New Roman" w:hAnsi="Times New Roman"/>
          <w:sz w:val="24"/>
          <w:szCs w:val="24"/>
          <w:lang w:eastAsia="ru-RU"/>
        </w:rPr>
      </w:pPr>
      <w:r>
        <w:rPr>
          <w:rFonts w:ascii="Times New Roman" w:hAnsi="Times New Roman"/>
          <w:sz w:val="24"/>
          <w:szCs w:val="24"/>
          <w:lang w:val="ru-RU" w:eastAsia="ru-RU"/>
        </w:rPr>
        <w:t>                                                                      </w:t>
      </w:r>
      <w:r>
        <w:rPr>
          <w:rFonts w:ascii="Times New Roman" w:hAnsi="Times New Roman"/>
          <w:sz w:val="24"/>
          <w:szCs w:val="24"/>
          <w:lang w:eastAsia="ru-RU"/>
        </w:rPr>
        <w:t xml:space="preserve">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p>
    <w:p w:rsidR="00B91CF5" w:rsidRDefault="00B91CF5" w:rsidP="00B91CF5">
      <w:pPr>
        <w:pStyle w:val="a5"/>
        <w:jc w:val="center"/>
        <w:outlineLvl w:val="0"/>
        <w:rPr>
          <w:rFonts w:ascii="Times New Roman" w:hAnsi="Times New Roman"/>
          <w:sz w:val="24"/>
          <w:szCs w:val="24"/>
          <w:lang w:eastAsia="ru-RU"/>
        </w:rPr>
      </w:pPr>
      <w:r>
        <w:rPr>
          <w:rFonts w:ascii="Times New Roman" w:hAnsi="Times New Roman"/>
          <w:sz w:val="24"/>
          <w:szCs w:val="24"/>
          <w:lang w:eastAsia="ru-RU"/>
        </w:rPr>
        <w:t>ПРОГРАМА</w:t>
      </w:r>
    </w:p>
    <w:p w:rsidR="00B91CF5" w:rsidRDefault="00B91CF5" w:rsidP="00B91CF5">
      <w:pPr>
        <w:pStyle w:val="a5"/>
        <w:jc w:val="center"/>
        <w:rPr>
          <w:rFonts w:ascii="Times New Roman" w:hAnsi="Times New Roman"/>
          <w:sz w:val="24"/>
          <w:szCs w:val="24"/>
          <w:lang w:eastAsia="ru-RU"/>
        </w:rPr>
      </w:pPr>
      <w:r>
        <w:rPr>
          <w:rFonts w:ascii="Times New Roman" w:hAnsi="Times New Roman"/>
          <w:sz w:val="24"/>
          <w:szCs w:val="24"/>
          <w:lang w:eastAsia="ru-RU"/>
        </w:rPr>
        <w:t xml:space="preserve">благоустрою населених пунктів </w:t>
      </w:r>
      <w:proofErr w:type="spellStart"/>
      <w:r>
        <w:rPr>
          <w:rFonts w:ascii="Times New Roman" w:hAnsi="Times New Roman"/>
          <w:sz w:val="24"/>
          <w:szCs w:val="24"/>
          <w:lang w:eastAsia="ru-RU"/>
        </w:rPr>
        <w:t>Магальської</w:t>
      </w:r>
      <w:proofErr w:type="spellEnd"/>
      <w:r>
        <w:rPr>
          <w:rFonts w:ascii="Times New Roman" w:hAnsi="Times New Roman"/>
          <w:sz w:val="24"/>
          <w:szCs w:val="24"/>
          <w:lang w:eastAsia="ru-RU"/>
        </w:rPr>
        <w:t xml:space="preserve"> сільської ради </w:t>
      </w:r>
    </w:p>
    <w:p w:rsidR="00B91CF5" w:rsidRDefault="00B91CF5" w:rsidP="00B91CF5">
      <w:pPr>
        <w:pStyle w:val="a5"/>
        <w:jc w:val="center"/>
        <w:rPr>
          <w:rFonts w:ascii="Times New Roman" w:hAnsi="Times New Roman"/>
          <w:sz w:val="24"/>
          <w:szCs w:val="24"/>
          <w:lang w:eastAsia="ru-RU"/>
        </w:rPr>
      </w:pPr>
      <w:r>
        <w:rPr>
          <w:rFonts w:ascii="Times New Roman" w:hAnsi="Times New Roman"/>
          <w:sz w:val="24"/>
          <w:szCs w:val="24"/>
          <w:lang w:eastAsia="ru-RU"/>
        </w:rPr>
        <w:t>на 2022-2024 рр.</w:t>
      </w:r>
    </w:p>
    <w:p w:rsidR="00B91CF5" w:rsidRDefault="00B91CF5" w:rsidP="00B91CF5">
      <w:pPr>
        <w:pStyle w:val="a5"/>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b/>
          <w:sz w:val="24"/>
          <w:szCs w:val="24"/>
          <w:lang w:eastAsia="ru-RU"/>
        </w:rPr>
      </w:pPr>
      <w:r>
        <w:rPr>
          <w:rFonts w:ascii="Times New Roman" w:hAnsi="Times New Roman"/>
          <w:b/>
          <w:sz w:val="24"/>
          <w:szCs w:val="24"/>
          <w:lang w:eastAsia="ru-RU"/>
        </w:rPr>
        <w:t>1. Вступ</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 xml:space="preserve">Виходом із цієї ситуації є залучення власних коштів, загального та спеціального фондів, а також коштів отриманих від бюджету вищого рівня у вигляді трансфертів (субвенцій, дотацій, тощо). Зміни до Програми вносяться за рішенням сільської ради. Дані роботи проводяться із залученням підрядних організацій та громадян на договірних основах для виконання організації роботи по збору, вивозу твердих побутових відходів, </w:t>
      </w:r>
      <w:proofErr w:type="spellStart"/>
      <w:r>
        <w:rPr>
          <w:rFonts w:ascii="Times New Roman" w:hAnsi="Times New Roman"/>
          <w:sz w:val="24"/>
          <w:szCs w:val="24"/>
          <w:lang w:eastAsia="ru-RU"/>
        </w:rPr>
        <w:t>обваловки</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сміттезвалищ</w:t>
      </w:r>
      <w:proofErr w:type="spellEnd"/>
      <w:r>
        <w:rPr>
          <w:rFonts w:ascii="Times New Roman" w:hAnsi="Times New Roman"/>
          <w:sz w:val="24"/>
          <w:szCs w:val="24"/>
          <w:lang w:eastAsia="ru-RU"/>
        </w:rPr>
        <w:t xml:space="preserve">, обслуговування вуличного освітлення. </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Європейського Союзу.</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b/>
          <w:sz w:val="24"/>
          <w:szCs w:val="24"/>
          <w:lang w:eastAsia="ru-RU"/>
        </w:rPr>
      </w:pPr>
      <w:r>
        <w:rPr>
          <w:rFonts w:ascii="Times New Roman" w:hAnsi="Times New Roman"/>
          <w:b/>
          <w:sz w:val="24"/>
          <w:szCs w:val="24"/>
          <w:lang w:eastAsia="ru-RU"/>
        </w:rPr>
        <w:t>2. Сучасний стан благоустрою сіл громади</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 xml:space="preserve">В населених пунктах </w:t>
      </w:r>
      <w:proofErr w:type="spellStart"/>
      <w:r>
        <w:rPr>
          <w:rFonts w:ascii="Times New Roman" w:hAnsi="Times New Roman"/>
          <w:sz w:val="24"/>
          <w:szCs w:val="24"/>
          <w:lang w:eastAsia="ru-RU"/>
        </w:rPr>
        <w:t>Магальської</w:t>
      </w:r>
      <w:proofErr w:type="spellEnd"/>
      <w:r>
        <w:rPr>
          <w:rFonts w:ascii="Times New Roman" w:hAnsi="Times New Roman"/>
          <w:sz w:val="24"/>
          <w:szCs w:val="24"/>
          <w:lang w:eastAsia="ru-RU"/>
        </w:rPr>
        <w:t xml:space="preserve"> ОТГ незадовільний стан доріг, тому необхідно облаштувати вулиці твердим покриттям та постійно утримувати їх в належному стані (проводити регулярне профілювання).</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Особливу увагу слід приділити належному стану кладовищ, пам’ятних знаків, виявленню стихійних сміттєзвалищ. В цьому напрямку планується організувати роботу по благоустрою кладовищ, вивезенню сміття, облаштування сміттєзвалищ.</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Програмою передбачається також знайти можливості та вирішити питання виготовлення трафаретів з назвами вулиць, номерів будинків та забезпечити вуличним освітленням всі вулиць населених пунктів громади, оплата за освітлення.</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 xml:space="preserve">З метою покращання стану благоустрою території розроблено План заходів до Програми благоустрою населених пунктів </w:t>
      </w:r>
      <w:proofErr w:type="spellStart"/>
      <w:r>
        <w:rPr>
          <w:rFonts w:ascii="Times New Roman" w:hAnsi="Times New Roman"/>
          <w:sz w:val="24"/>
          <w:szCs w:val="24"/>
          <w:lang w:eastAsia="ru-RU"/>
        </w:rPr>
        <w:t>Магальської</w:t>
      </w:r>
      <w:proofErr w:type="spellEnd"/>
      <w:r>
        <w:rPr>
          <w:rFonts w:ascii="Times New Roman" w:hAnsi="Times New Roman"/>
          <w:sz w:val="24"/>
          <w:szCs w:val="24"/>
          <w:lang w:eastAsia="ru-RU"/>
        </w:rPr>
        <w:t xml:space="preserve"> сільської ради на 2020 рік (додаток №1).</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b/>
          <w:sz w:val="24"/>
          <w:szCs w:val="24"/>
          <w:lang w:eastAsia="ru-RU"/>
        </w:rPr>
      </w:pPr>
      <w:bookmarkStart w:id="0" w:name="bookmark2"/>
      <w:r>
        <w:rPr>
          <w:rFonts w:ascii="Times New Roman" w:hAnsi="Times New Roman"/>
          <w:b/>
          <w:sz w:val="24"/>
          <w:szCs w:val="24"/>
          <w:lang w:eastAsia="ru-RU"/>
        </w:rPr>
        <w:t>3. Мета та основні завдання Програми</w:t>
      </w:r>
      <w:bookmarkEnd w:id="0"/>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Основною метою Програми є забезпечення соціально-економічних, організаційно-правових та екологічних заходів щодо поліпшення мікроклімату, санітарного очищення, тощо, що здійснюються на території населених пунктів.</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Для цього необхідно:</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розробляти і здійснювати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lastRenderedPageBreak/>
        <w:t>- організовувати належне утримання і раціональне використання територій іншого призначення;</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створювати умови для реалізації прав суб'єктами господарювання у сфері благоустрою населених пунктів громади;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здійснювати заходи з благоустрою населених пунктів,  та утримання в належному стані парків, вулиць, кладовищ, ремонту шляхів і тротуарів, інших об'єктів;</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забезпечувати проведення ремонту, реконструкції, виготовлення в’їзних знаків в сіл громади;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організовувати проведення робіт з ремонту та реконструкції об’єктів благоустрою комунальної власності;</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запроваджувати схеми санітарного очищення у населених пунктах громади;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підтримувати благоустрій сільських кладовищ;</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здійснювати ремонт й обслуговування дорожньої сільської мережі;</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проводити роботу з населенням з питань покращання благоустрою та санітарного стану;</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укладати договори з суб’єктами надання послуг;</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щорічно, з врахуванням реальної ситуації, коригувати програму з метою визначення першочергових заходів.</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b/>
          <w:sz w:val="24"/>
          <w:szCs w:val="24"/>
          <w:lang w:eastAsia="ru-RU"/>
        </w:rPr>
      </w:pPr>
      <w:bookmarkStart w:id="1" w:name="bookmark3"/>
      <w:r>
        <w:rPr>
          <w:rFonts w:ascii="Times New Roman" w:hAnsi="Times New Roman"/>
          <w:b/>
          <w:sz w:val="24"/>
          <w:szCs w:val="24"/>
          <w:lang w:eastAsia="ru-RU"/>
        </w:rPr>
        <w:t>4.</w:t>
      </w:r>
      <w:bookmarkEnd w:id="1"/>
      <w:r>
        <w:rPr>
          <w:rFonts w:ascii="Times New Roman" w:hAnsi="Times New Roman"/>
          <w:b/>
          <w:sz w:val="24"/>
          <w:szCs w:val="24"/>
          <w:lang w:eastAsia="ru-RU"/>
        </w:rPr>
        <w:t>Джерела фінансування Програми</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Фінансування заходів з благоустрою населених пунктів, утримання та ремонту об’єктів благоустрою здійснюється за рахунок залучення власних коштів, загального та спеціального фондів, а також коштів отриманих від бюджету вищого рівня у вигляді трансферів (субвенцій, дотацій, тощо), інших джерел фінансування, що не суперечать чинному законодавству.</w:t>
      </w:r>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При фінансуванні заходів з благоустрою населених пунктів оплата за виконання певних робіт може здійснюватися на підставі укладених договорів з вирахуванням всіх, передбачених чинним законодавством платежів та зборів.</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b/>
          <w:sz w:val="24"/>
          <w:szCs w:val="24"/>
          <w:lang w:eastAsia="ru-RU"/>
        </w:rPr>
      </w:pPr>
      <w:bookmarkStart w:id="2" w:name="bookmark4"/>
      <w:r>
        <w:rPr>
          <w:rFonts w:ascii="Times New Roman" w:hAnsi="Times New Roman"/>
          <w:b/>
          <w:sz w:val="24"/>
          <w:szCs w:val="24"/>
          <w:lang w:eastAsia="ru-RU"/>
        </w:rPr>
        <w:t>5. Очікувані результати виконання Програми</w:t>
      </w:r>
      <w:bookmarkEnd w:id="2"/>
    </w:p>
    <w:p w:rsidR="00B91CF5" w:rsidRDefault="00B91CF5" w:rsidP="00B91CF5">
      <w:pPr>
        <w:pStyle w:val="a5"/>
        <w:ind w:firstLine="708"/>
        <w:jc w:val="both"/>
        <w:rPr>
          <w:rFonts w:ascii="Times New Roman" w:hAnsi="Times New Roman"/>
          <w:sz w:val="24"/>
          <w:szCs w:val="24"/>
          <w:lang w:eastAsia="ru-RU"/>
        </w:rPr>
      </w:pPr>
      <w:r>
        <w:rPr>
          <w:rFonts w:ascii="Times New Roman" w:hAnsi="Times New Roman"/>
          <w:sz w:val="24"/>
          <w:szCs w:val="24"/>
          <w:lang w:eastAsia="ru-RU"/>
        </w:rPr>
        <w:t>Виконання Програми дасть можливість забезпечити: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належне утримання автомобільних доріг;</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часткове вирішення питання зайнятості населення;</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поліпшення санітарного стану навколишнього природного середовища населених пунктів ОТГ та створення кращих умов для життєдіяльності її мешканців;</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зменшення шкідливого впливу побутових відходів на навколишнє природне середовище та здоров’я людини;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підвищення рівня якості послуг, що надаються населенню з питань благоустрою та санітарного очищення;</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створення умов для очищення населених пунктів від забруднення побутовими відходами;</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підвищення ефективності функціонування підприємств із питань благоустрою та санітарного очищення.</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rPr>
      </w:pPr>
      <w:r>
        <w:rPr>
          <w:rFonts w:ascii="Times New Roman" w:hAnsi="Times New Roman"/>
          <w:b/>
          <w:bCs/>
          <w:sz w:val="24"/>
          <w:szCs w:val="24"/>
          <w:lang w:eastAsia="ru-RU"/>
        </w:rPr>
        <w:t>Секретар сільської ради     </w:t>
      </w:r>
      <w:r>
        <w:rPr>
          <w:rFonts w:ascii="Times New Roman" w:hAnsi="Times New Roman"/>
          <w:sz w:val="24"/>
          <w:szCs w:val="24"/>
          <w:lang w:eastAsia="ru-RU"/>
        </w:rPr>
        <w:t>                                              </w:t>
      </w:r>
      <w:r>
        <w:rPr>
          <w:rFonts w:ascii="Times New Roman" w:hAnsi="Times New Roman"/>
          <w:sz w:val="24"/>
          <w:szCs w:val="24"/>
          <w:lang w:eastAsia="ru-RU"/>
        </w:rPr>
        <w:tab/>
        <w:t> </w:t>
      </w:r>
      <w:r>
        <w:rPr>
          <w:rFonts w:ascii="Times New Roman" w:hAnsi="Times New Roman"/>
          <w:b/>
          <w:bCs/>
          <w:sz w:val="24"/>
          <w:szCs w:val="24"/>
          <w:lang w:eastAsia="ru-RU"/>
        </w:rPr>
        <w:t>Анжела КРІСТЕЛ</w:t>
      </w: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lang w:eastAsia="ru-RU"/>
        </w:rPr>
      </w:pPr>
    </w:p>
    <w:p w:rsidR="00B91CF5" w:rsidRDefault="00B91CF5" w:rsidP="00B91CF5">
      <w:pPr>
        <w:pStyle w:val="a5"/>
        <w:jc w:val="both"/>
        <w:rPr>
          <w:rFonts w:ascii="Times New Roman" w:hAnsi="Times New Roman"/>
          <w:sz w:val="24"/>
          <w:szCs w:val="24"/>
          <w:lang w:eastAsia="ru-RU"/>
        </w:rPr>
      </w:pPr>
      <w:r>
        <w:rPr>
          <w:rFonts w:ascii="Times New Roman" w:hAnsi="Times New Roman"/>
          <w:sz w:val="24"/>
          <w:szCs w:val="24"/>
          <w:lang w:eastAsia="ru-RU"/>
        </w:rPr>
        <w:t>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both"/>
        <w:rPr>
          <w:rFonts w:ascii="Times New Roman" w:hAnsi="Times New Roman"/>
          <w:sz w:val="24"/>
          <w:szCs w:val="24"/>
          <w:lang w:eastAsia="ru-RU"/>
        </w:rPr>
      </w:pPr>
    </w:p>
    <w:p w:rsidR="00B91CF5" w:rsidRDefault="00B91CF5" w:rsidP="00B91CF5">
      <w:pPr>
        <w:pStyle w:val="a5"/>
        <w:ind w:left="6372" w:firstLine="708"/>
        <w:jc w:val="right"/>
        <w:rPr>
          <w:rFonts w:ascii="Times New Roman" w:hAnsi="Times New Roman"/>
          <w:sz w:val="24"/>
          <w:szCs w:val="24"/>
          <w:lang w:eastAsia="ru-RU"/>
        </w:rPr>
      </w:pPr>
    </w:p>
    <w:p w:rsidR="00B91CF5" w:rsidRDefault="00B91CF5" w:rsidP="00B91CF5">
      <w:pPr>
        <w:pStyle w:val="a5"/>
        <w:ind w:left="6372" w:firstLine="708"/>
        <w:jc w:val="right"/>
        <w:rPr>
          <w:rFonts w:ascii="Times New Roman" w:hAnsi="Times New Roman"/>
          <w:sz w:val="24"/>
          <w:szCs w:val="24"/>
          <w:lang w:eastAsia="ru-RU"/>
        </w:rPr>
      </w:pPr>
      <w:r>
        <w:rPr>
          <w:rFonts w:ascii="Times New Roman" w:hAnsi="Times New Roman"/>
          <w:sz w:val="24"/>
          <w:szCs w:val="24"/>
          <w:lang w:eastAsia="ru-RU"/>
        </w:rPr>
        <w:t>Додаток №1</w:t>
      </w:r>
    </w:p>
    <w:p w:rsidR="00B91CF5" w:rsidRDefault="00B91CF5" w:rsidP="00B91CF5">
      <w:pPr>
        <w:pStyle w:val="a5"/>
        <w:ind w:left="5664"/>
        <w:jc w:val="right"/>
        <w:rPr>
          <w:rFonts w:ascii="Times New Roman" w:hAnsi="Times New Roman"/>
          <w:sz w:val="24"/>
          <w:szCs w:val="24"/>
          <w:lang w:eastAsia="ru-RU"/>
        </w:rPr>
      </w:pPr>
      <w:r>
        <w:rPr>
          <w:rFonts w:ascii="Times New Roman" w:hAnsi="Times New Roman"/>
          <w:sz w:val="24"/>
          <w:szCs w:val="24"/>
          <w:lang w:eastAsia="ru-RU"/>
        </w:rPr>
        <w:t xml:space="preserve">до Програми благоустрою населених пунктів </w:t>
      </w:r>
      <w:proofErr w:type="spellStart"/>
      <w:r>
        <w:rPr>
          <w:rFonts w:ascii="Times New Roman" w:hAnsi="Times New Roman"/>
          <w:sz w:val="24"/>
          <w:szCs w:val="24"/>
          <w:lang w:eastAsia="ru-RU"/>
        </w:rPr>
        <w:t>Магальської</w:t>
      </w:r>
      <w:proofErr w:type="spellEnd"/>
      <w:r>
        <w:rPr>
          <w:rFonts w:ascii="Times New Roman" w:hAnsi="Times New Roman"/>
          <w:sz w:val="24"/>
          <w:szCs w:val="24"/>
          <w:lang w:eastAsia="ru-RU"/>
        </w:rPr>
        <w:t xml:space="preserve"> сільської ради на 2022-2024 роки</w:t>
      </w:r>
    </w:p>
    <w:p w:rsidR="00B91CF5" w:rsidRDefault="00B91CF5" w:rsidP="00B91CF5">
      <w:pPr>
        <w:pStyle w:val="a5"/>
        <w:jc w:val="center"/>
        <w:outlineLvl w:val="0"/>
        <w:rPr>
          <w:rFonts w:ascii="Times New Roman" w:hAnsi="Times New Roman"/>
          <w:sz w:val="24"/>
          <w:szCs w:val="24"/>
          <w:lang w:eastAsia="ru-RU"/>
        </w:rPr>
      </w:pPr>
    </w:p>
    <w:p w:rsidR="00B91CF5" w:rsidRDefault="00B91CF5" w:rsidP="00B91CF5">
      <w:pPr>
        <w:pStyle w:val="a5"/>
        <w:jc w:val="center"/>
        <w:outlineLvl w:val="0"/>
        <w:rPr>
          <w:rFonts w:ascii="Times New Roman" w:hAnsi="Times New Roman"/>
          <w:b/>
          <w:sz w:val="24"/>
          <w:szCs w:val="24"/>
          <w:lang w:eastAsia="ru-RU"/>
        </w:rPr>
      </w:pPr>
      <w:r>
        <w:rPr>
          <w:rFonts w:ascii="Times New Roman" w:hAnsi="Times New Roman"/>
          <w:sz w:val="24"/>
          <w:szCs w:val="24"/>
          <w:lang w:eastAsia="ru-RU"/>
        </w:rPr>
        <w:t> </w:t>
      </w:r>
      <w:r>
        <w:rPr>
          <w:rFonts w:ascii="Times New Roman" w:hAnsi="Times New Roman"/>
          <w:b/>
          <w:bCs/>
          <w:sz w:val="24"/>
          <w:szCs w:val="24"/>
          <w:lang w:eastAsia="ru-RU"/>
        </w:rPr>
        <w:t>План заходів</w:t>
      </w:r>
    </w:p>
    <w:p w:rsidR="00B91CF5" w:rsidRDefault="00B91CF5" w:rsidP="00B91CF5">
      <w:pPr>
        <w:pStyle w:val="a5"/>
        <w:jc w:val="center"/>
        <w:rPr>
          <w:rFonts w:ascii="Times New Roman" w:hAnsi="Times New Roman"/>
          <w:b/>
          <w:sz w:val="24"/>
          <w:szCs w:val="24"/>
          <w:lang w:eastAsia="ru-RU"/>
        </w:rPr>
      </w:pPr>
      <w:r>
        <w:rPr>
          <w:rFonts w:ascii="Times New Roman" w:hAnsi="Times New Roman"/>
          <w:b/>
          <w:sz w:val="24"/>
          <w:szCs w:val="24"/>
          <w:lang w:eastAsia="ru-RU"/>
        </w:rPr>
        <w:t xml:space="preserve">до Програми благоустрою населених пунктів </w:t>
      </w:r>
      <w:proofErr w:type="spellStart"/>
      <w:r>
        <w:rPr>
          <w:rFonts w:ascii="Times New Roman" w:hAnsi="Times New Roman"/>
          <w:b/>
          <w:sz w:val="24"/>
          <w:szCs w:val="24"/>
          <w:lang w:eastAsia="ru-RU"/>
        </w:rPr>
        <w:t>Магальської</w:t>
      </w:r>
      <w:proofErr w:type="spellEnd"/>
      <w:r>
        <w:rPr>
          <w:rFonts w:ascii="Times New Roman" w:hAnsi="Times New Roman"/>
          <w:b/>
          <w:sz w:val="24"/>
          <w:szCs w:val="24"/>
          <w:lang w:eastAsia="ru-RU"/>
        </w:rPr>
        <w:t xml:space="preserve"> </w:t>
      </w:r>
    </w:p>
    <w:p w:rsidR="00B91CF5" w:rsidRDefault="00B91CF5" w:rsidP="00B91CF5">
      <w:pPr>
        <w:pStyle w:val="a5"/>
        <w:jc w:val="center"/>
        <w:rPr>
          <w:rFonts w:ascii="Times New Roman" w:hAnsi="Times New Roman"/>
          <w:b/>
          <w:sz w:val="24"/>
          <w:szCs w:val="24"/>
          <w:lang w:eastAsia="ru-RU"/>
        </w:rPr>
      </w:pPr>
      <w:r>
        <w:rPr>
          <w:rFonts w:ascii="Times New Roman" w:hAnsi="Times New Roman"/>
          <w:b/>
          <w:sz w:val="24"/>
          <w:szCs w:val="24"/>
          <w:lang w:eastAsia="ru-RU"/>
        </w:rPr>
        <w:t>сільської ради на 2022-2024 рр.</w:t>
      </w:r>
    </w:p>
    <w:tbl>
      <w:tblPr>
        <w:tblW w:w="0" w:type="auto"/>
        <w:tblBorders>
          <w:top w:val="single" w:sz="4" w:space="0" w:color="DDDDDD"/>
          <w:left w:val="single" w:sz="4" w:space="0" w:color="DDDDDD"/>
          <w:bottom w:val="single" w:sz="4" w:space="0" w:color="DDDDDD"/>
          <w:right w:val="single" w:sz="4" w:space="0" w:color="DDDDDD"/>
        </w:tblBorders>
        <w:tblLayout w:type="fixed"/>
        <w:tblLook w:val="04A0" w:firstRow="1" w:lastRow="0" w:firstColumn="1" w:lastColumn="0" w:noHBand="0" w:noVBand="1"/>
      </w:tblPr>
      <w:tblGrid>
        <w:gridCol w:w="540"/>
        <w:gridCol w:w="4370"/>
        <w:gridCol w:w="1512"/>
        <w:gridCol w:w="1512"/>
        <w:gridCol w:w="1512"/>
      </w:tblGrid>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w:t>
            </w:r>
          </w:p>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п/п</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Найменування заходу</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Сума коштів місцевого бюджету</w:t>
            </w:r>
          </w:p>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(тис. грн.)</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Сума коштів місцевого бюджету</w:t>
            </w:r>
          </w:p>
          <w:p w:rsidR="00B91CF5" w:rsidRDefault="00B91CF5">
            <w:pPr>
              <w:spacing w:after="200" w:line="276" w:lineRule="auto"/>
              <w:jc w:val="center"/>
              <w:rPr>
                <w:lang w:eastAsia="en-US"/>
              </w:rPr>
            </w:pPr>
            <w:r>
              <w:rPr>
                <w:lang w:eastAsia="en-US"/>
              </w:rPr>
              <w:t>(тис. грн.)</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Сума коштів місцевого бюджету</w:t>
            </w:r>
          </w:p>
          <w:p w:rsidR="00B91CF5" w:rsidRDefault="00B91CF5">
            <w:pPr>
              <w:spacing w:after="200" w:line="276" w:lineRule="auto"/>
              <w:jc w:val="center"/>
              <w:rPr>
                <w:lang w:eastAsia="en-US"/>
              </w:rPr>
            </w:pPr>
            <w:r>
              <w:rPr>
                <w:lang w:eastAsia="en-US"/>
              </w:rPr>
              <w:t>(тис. грн.)</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rPr>
                <w:lang w:eastAsia="en-US"/>
              </w:rPr>
            </w:pP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xml:space="preserve">Рік </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2022</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spacing w:after="200" w:line="276" w:lineRule="auto"/>
              <w:jc w:val="center"/>
              <w:rPr>
                <w:rFonts w:eastAsiaTheme="minorHAnsi"/>
                <w:lang w:eastAsia="en-US"/>
              </w:rPr>
            </w:pPr>
            <w:r>
              <w:rPr>
                <w:rFonts w:eastAsiaTheme="minorHAnsi"/>
                <w:lang w:eastAsia="en-US"/>
              </w:rPr>
              <w:t>2023</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spacing w:after="200" w:line="276" w:lineRule="auto"/>
              <w:jc w:val="center"/>
              <w:rPr>
                <w:rFonts w:eastAsiaTheme="minorHAnsi"/>
                <w:lang w:eastAsia="en-US"/>
              </w:rPr>
            </w:pPr>
            <w:r>
              <w:rPr>
                <w:rFonts w:eastAsiaTheme="minorHAnsi"/>
                <w:lang w:eastAsia="en-US"/>
              </w:rPr>
              <w:t>2024</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Проведення місячників з благоустрою, санітарного очищення та оновлення екологічної обстановки</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В межах бюджетного фінансування</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В межах бюджетного фінансування</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В межах бюджетного фінансування</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Проведення сільських суботників</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xml:space="preserve">Збір та захоронення твердих побутових відходів (придбання палива, запчастин, укладення договорів на вивіз), ліквідація </w:t>
            </w:r>
            <w:proofErr w:type="spellStart"/>
            <w:r>
              <w:rPr>
                <w:rFonts w:ascii="Times New Roman" w:hAnsi="Times New Roman"/>
                <w:sz w:val="24"/>
                <w:szCs w:val="24"/>
                <w:lang w:eastAsia="ru-RU"/>
              </w:rPr>
              <w:t>несанційонованих</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сміттезвалищ</w:t>
            </w:r>
            <w:proofErr w:type="spellEnd"/>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70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80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Визначення та благоустрій місць під встановлення контейнерів для збору сміття</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lang w:eastAsia="ru-RU"/>
              </w:rPr>
            </w:pPr>
            <w:r>
              <w:rPr>
                <w:rFonts w:ascii="Times New Roman" w:hAnsi="Times New Roman"/>
                <w:lang w:eastAsia="ru-RU"/>
              </w:rPr>
              <w:t>Не потребує фінансування</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5</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Обслуговування вуличного освітлення</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900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1100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6</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xml:space="preserve">Оплата послуг із благоустрою населених пунктів в </w:t>
            </w:r>
            <w:proofErr w:type="spellStart"/>
            <w:r>
              <w:rPr>
                <w:rFonts w:ascii="Times New Roman" w:hAnsi="Times New Roman"/>
                <w:sz w:val="24"/>
                <w:szCs w:val="24"/>
                <w:lang w:eastAsia="ru-RU"/>
              </w:rPr>
              <w:t>т.ч</w:t>
            </w:r>
            <w:proofErr w:type="spellEnd"/>
            <w:r>
              <w:rPr>
                <w:rFonts w:ascii="Times New Roman" w:hAnsi="Times New Roman"/>
                <w:sz w:val="24"/>
                <w:szCs w:val="24"/>
                <w:lang w:eastAsia="ru-RU"/>
              </w:rPr>
              <w:t>. поточний ремонт ліній зовнішнього освітлення</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400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lastRenderedPageBreak/>
              <w:t>7</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Виготовлення трафаретів з назвами вулиць, номерів будинків</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8</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xml:space="preserve">Ліквідація старих аварійних </w:t>
            </w:r>
            <w:proofErr w:type="spellStart"/>
            <w:r>
              <w:rPr>
                <w:rFonts w:ascii="Times New Roman" w:hAnsi="Times New Roman"/>
                <w:sz w:val="24"/>
                <w:szCs w:val="24"/>
                <w:lang w:eastAsia="ru-RU"/>
              </w:rPr>
              <w:t>сухостоїв</w:t>
            </w:r>
            <w:proofErr w:type="spellEnd"/>
            <w:r>
              <w:rPr>
                <w:rFonts w:ascii="Times New Roman" w:hAnsi="Times New Roman"/>
                <w:sz w:val="24"/>
                <w:szCs w:val="24"/>
                <w:lang w:eastAsia="ru-RU"/>
              </w:rPr>
              <w:t xml:space="preserve"> та обрізка дерев</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9</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Санітарна очистка кладовищ, прибирання та обкоси (придбання палива) їх благоустрій та утримання</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10</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Оплата послуг по утриманню в належному стані сільських сміттєзвалищ</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11</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Очистка вулиць від снігу в зимовий період</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400</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400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12</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Оплата послуг електрика згідно договору по обслуговуванню вуличного освітлення та комунальних установ.</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110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120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120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xml:space="preserve">13. </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Очистка і лабораторний аналіз громадських криниць</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70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14.</w:t>
            </w:r>
          </w:p>
        </w:tc>
        <w:tc>
          <w:tcPr>
            <w:tcW w:w="4370" w:type="dxa"/>
            <w:tcBorders>
              <w:top w:val="single" w:sz="4" w:space="0" w:color="DDDDDD"/>
              <w:left w:val="single" w:sz="4" w:space="0" w:color="DDDDDD"/>
              <w:bottom w:val="single" w:sz="4" w:space="0" w:color="DDDDDD"/>
              <w:right w:val="single" w:sz="4" w:space="0" w:color="DDDDDD"/>
            </w:tcBorders>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Підтримання в належному стані  доріг та придорожніх смуг населених пунктів ОТГ</w:t>
            </w:r>
          </w:p>
        </w:tc>
        <w:tc>
          <w:tcPr>
            <w:tcW w:w="1512" w:type="dxa"/>
            <w:tcBorders>
              <w:top w:val="single" w:sz="4" w:space="0" w:color="DDDDDD"/>
              <w:left w:val="single" w:sz="4" w:space="0" w:color="DDDDDD"/>
              <w:bottom w:val="single" w:sz="4" w:space="0" w:color="DDDDDD"/>
              <w:right w:val="single" w:sz="4" w:space="0" w:color="auto"/>
            </w:tcBorders>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900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1000</w:t>
            </w:r>
          </w:p>
        </w:tc>
        <w:tc>
          <w:tcPr>
            <w:tcW w:w="1512" w:type="dxa"/>
            <w:tcBorders>
              <w:top w:val="single" w:sz="4" w:space="0" w:color="DDDDDD"/>
              <w:left w:val="single" w:sz="4" w:space="0" w:color="auto"/>
              <w:bottom w:val="single" w:sz="4" w:space="0" w:color="DDDDDD"/>
              <w:right w:val="single" w:sz="4" w:space="0" w:color="DDDDDD"/>
            </w:tcBorders>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1100</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sz w:val="24"/>
                <w:szCs w:val="24"/>
                <w:lang w:eastAsia="ru-RU"/>
              </w:rPr>
              <w:t> </w:t>
            </w: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pStyle w:val="a5"/>
              <w:spacing w:line="256" w:lineRule="auto"/>
              <w:jc w:val="both"/>
              <w:rPr>
                <w:rFonts w:ascii="Times New Roman" w:hAnsi="Times New Roman"/>
                <w:sz w:val="24"/>
                <w:szCs w:val="24"/>
                <w:lang w:eastAsia="ru-RU"/>
              </w:rPr>
            </w:pPr>
            <w:r>
              <w:rPr>
                <w:rFonts w:ascii="Times New Roman" w:hAnsi="Times New Roman"/>
                <w:b/>
                <w:bCs/>
                <w:sz w:val="24"/>
                <w:szCs w:val="24"/>
                <w:lang w:eastAsia="ru-RU"/>
              </w:rPr>
              <w:t>Всього</w:t>
            </w: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2775</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3095</w:t>
            </w: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hideMark/>
          </w:tcPr>
          <w:p w:rsidR="00B91CF5" w:rsidRDefault="00B91CF5">
            <w:pPr>
              <w:pStyle w:val="a5"/>
              <w:spacing w:line="256" w:lineRule="auto"/>
              <w:jc w:val="center"/>
              <w:rPr>
                <w:rFonts w:ascii="Times New Roman" w:hAnsi="Times New Roman"/>
                <w:sz w:val="24"/>
                <w:szCs w:val="24"/>
                <w:lang w:eastAsia="ru-RU"/>
              </w:rPr>
            </w:pPr>
            <w:r>
              <w:rPr>
                <w:rFonts w:ascii="Times New Roman" w:hAnsi="Times New Roman"/>
                <w:sz w:val="24"/>
                <w:szCs w:val="24"/>
                <w:lang w:eastAsia="ru-RU"/>
              </w:rPr>
              <w:t>3365</w:t>
            </w:r>
          </w:p>
        </w:tc>
      </w:tr>
      <w:tr w:rsidR="00B91CF5" w:rsidTr="00B91CF5">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rPr>
                <w:sz w:val="24"/>
                <w:szCs w:val="24"/>
              </w:rPr>
            </w:pPr>
          </w:p>
        </w:tc>
        <w:tc>
          <w:tcPr>
            <w:tcW w:w="437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B91CF5" w:rsidRDefault="00B91CF5">
            <w:pPr>
              <w:spacing w:line="256" w:lineRule="auto"/>
              <w:rPr>
                <w:rFonts w:asciiTheme="minorHAnsi" w:eastAsiaTheme="minorHAnsi" w:hAnsiTheme="minorHAnsi" w:cstheme="minorBidi"/>
                <w:sz w:val="20"/>
                <w:lang w:val="ru-RU"/>
              </w:rPr>
            </w:pPr>
          </w:p>
        </w:tc>
        <w:tc>
          <w:tcPr>
            <w:tcW w:w="1512" w:type="dxa"/>
            <w:tcBorders>
              <w:top w:val="single" w:sz="4" w:space="0" w:color="DDDDDD"/>
              <w:left w:val="single" w:sz="4" w:space="0" w:color="DDDDDD"/>
              <w:bottom w:val="single" w:sz="4" w:space="0" w:color="DDDDDD"/>
              <w:right w:val="single" w:sz="4" w:space="0" w:color="auto"/>
            </w:tcBorders>
            <w:shd w:val="clear" w:color="auto" w:fill="F9F9F9"/>
            <w:tcMar>
              <w:top w:w="90" w:type="dxa"/>
              <w:left w:w="90" w:type="dxa"/>
              <w:bottom w:w="90" w:type="dxa"/>
              <w:right w:w="90" w:type="dxa"/>
            </w:tcMar>
            <w:hideMark/>
          </w:tcPr>
          <w:p w:rsidR="00B91CF5" w:rsidRDefault="00B91CF5">
            <w:pPr>
              <w:spacing w:line="256" w:lineRule="auto"/>
              <w:rPr>
                <w:rFonts w:asciiTheme="minorHAnsi" w:eastAsiaTheme="minorHAnsi" w:hAnsiTheme="minorHAnsi" w:cstheme="minorBidi"/>
                <w:sz w:val="20"/>
                <w:lang w:val="ru-RU"/>
              </w:rPr>
            </w:pP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tcPr>
          <w:p w:rsidR="00B91CF5" w:rsidRDefault="00B91CF5">
            <w:pPr>
              <w:pStyle w:val="a5"/>
              <w:spacing w:line="256" w:lineRule="auto"/>
              <w:jc w:val="center"/>
              <w:rPr>
                <w:rFonts w:ascii="Times New Roman" w:hAnsi="Times New Roman"/>
                <w:lang w:eastAsia="ru-RU"/>
              </w:rPr>
            </w:pPr>
          </w:p>
        </w:tc>
        <w:tc>
          <w:tcPr>
            <w:tcW w:w="1512" w:type="dxa"/>
            <w:tcBorders>
              <w:top w:val="single" w:sz="4" w:space="0" w:color="DDDDDD"/>
              <w:left w:val="single" w:sz="4" w:space="0" w:color="auto"/>
              <w:bottom w:val="single" w:sz="4" w:space="0" w:color="DDDDDD"/>
              <w:right w:val="single" w:sz="4" w:space="0" w:color="DDDDDD"/>
            </w:tcBorders>
            <w:shd w:val="clear" w:color="auto" w:fill="F9F9F9"/>
            <w:tcMar>
              <w:top w:w="15" w:type="dxa"/>
              <w:left w:w="15" w:type="dxa"/>
              <w:bottom w:w="15" w:type="dxa"/>
              <w:right w:w="15" w:type="dxa"/>
            </w:tcMar>
          </w:tcPr>
          <w:p w:rsidR="00B91CF5" w:rsidRDefault="00B91CF5">
            <w:pPr>
              <w:pStyle w:val="a5"/>
              <w:spacing w:line="256" w:lineRule="auto"/>
              <w:jc w:val="center"/>
              <w:rPr>
                <w:rFonts w:ascii="Times New Roman" w:hAnsi="Times New Roman"/>
                <w:lang w:eastAsia="ru-RU"/>
              </w:rPr>
            </w:pPr>
          </w:p>
        </w:tc>
      </w:tr>
    </w:tbl>
    <w:p w:rsidR="00B91CF5" w:rsidRDefault="00B91CF5" w:rsidP="00B91CF5">
      <w:pPr>
        <w:pStyle w:val="a5"/>
        <w:jc w:val="both"/>
        <w:rPr>
          <w:rFonts w:ascii="Times New Roman" w:hAnsi="Times New Roman"/>
          <w:b/>
          <w:bCs/>
          <w:sz w:val="24"/>
          <w:szCs w:val="24"/>
          <w:lang w:eastAsia="ru-RU"/>
        </w:rPr>
      </w:pPr>
    </w:p>
    <w:p w:rsidR="00B91CF5" w:rsidRDefault="00B91CF5" w:rsidP="00B91CF5">
      <w:pPr>
        <w:pStyle w:val="a5"/>
        <w:jc w:val="both"/>
        <w:rPr>
          <w:rFonts w:ascii="Times New Roman" w:hAnsi="Times New Roman"/>
          <w:b/>
          <w:bCs/>
          <w:sz w:val="24"/>
          <w:szCs w:val="24"/>
          <w:lang w:eastAsia="ru-RU"/>
        </w:rPr>
      </w:pPr>
    </w:p>
    <w:p w:rsidR="00B91CF5" w:rsidRDefault="00B91CF5" w:rsidP="00B91CF5">
      <w:pPr>
        <w:pStyle w:val="a5"/>
        <w:jc w:val="both"/>
        <w:rPr>
          <w:rFonts w:ascii="Times New Roman" w:hAnsi="Times New Roman"/>
          <w:b/>
          <w:bCs/>
          <w:sz w:val="24"/>
          <w:szCs w:val="24"/>
          <w:lang w:eastAsia="ru-RU"/>
        </w:rPr>
      </w:pPr>
    </w:p>
    <w:p w:rsidR="00B91CF5" w:rsidRDefault="00B91CF5" w:rsidP="00B91CF5">
      <w:pPr>
        <w:pStyle w:val="a5"/>
        <w:jc w:val="both"/>
        <w:rPr>
          <w:rFonts w:ascii="Times New Roman" w:hAnsi="Times New Roman"/>
          <w:b/>
          <w:bCs/>
          <w:sz w:val="24"/>
          <w:szCs w:val="24"/>
          <w:lang w:eastAsia="ru-RU"/>
        </w:rPr>
      </w:pPr>
    </w:p>
    <w:p w:rsidR="00B91CF5" w:rsidRDefault="00B91CF5" w:rsidP="00B91CF5">
      <w:pPr>
        <w:pStyle w:val="a5"/>
        <w:jc w:val="both"/>
        <w:rPr>
          <w:rFonts w:ascii="Times New Roman" w:hAnsi="Times New Roman"/>
          <w:b/>
          <w:bCs/>
          <w:sz w:val="24"/>
          <w:szCs w:val="24"/>
          <w:lang w:eastAsia="ru-RU"/>
        </w:rPr>
      </w:pPr>
    </w:p>
    <w:p w:rsidR="00B91CF5" w:rsidRDefault="00B91CF5" w:rsidP="00B91CF5">
      <w:pPr>
        <w:pStyle w:val="a5"/>
        <w:jc w:val="both"/>
        <w:rPr>
          <w:rFonts w:ascii="Times New Roman" w:hAnsi="Times New Roman"/>
          <w:sz w:val="24"/>
          <w:szCs w:val="24"/>
        </w:rPr>
      </w:pPr>
      <w:r>
        <w:rPr>
          <w:rFonts w:ascii="Times New Roman" w:hAnsi="Times New Roman"/>
          <w:b/>
          <w:bCs/>
          <w:sz w:val="24"/>
          <w:szCs w:val="24"/>
          <w:lang w:eastAsia="ru-RU"/>
        </w:rPr>
        <w:t>Секретар сільської ради     </w:t>
      </w:r>
      <w:r>
        <w:rPr>
          <w:rFonts w:ascii="Times New Roman" w:hAnsi="Times New Roman"/>
          <w:sz w:val="24"/>
          <w:szCs w:val="24"/>
          <w:lang w:eastAsia="ru-RU"/>
        </w:rPr>
        <w:t>                                              </w:t>
      </w:r>
      <w:r>
        <w:rPr>
          <w:rFonts w:ascii="Times New Roman" w:hAnsi="Times New Roman"/>
          <w:sz w:val="24"/>
          <w:szCs w:val="24"/>
          <w:lang w:eastAsia="ru-RU"/>
        </w:rPr>
        <w:tab/>
        <w:t> </w:t>
      </w:r>
      <w:r>
        <w:rPr>
          <w:rFonts w:ascii="Times New Roman" w:hAnsi="Times New Roman"/>
          <w:b/>
          <w:bCs/>
          <w:sz w:val="24"/>
          <w:szCs w:val="24"/>
          <w:lang w:eastAsia="ru-RU"/>
        </w:rPr>
        <w:t>Анжела КРІСТЕЛ</w:t>
      </w:r>
    </w:p>
    <w:p w:rsidR="00B91CF5" w:rsidRDefault="00B91CF5" w:rsidP="00B91CF5"/>
    <w:p w:rsidR="00B91CF5" w:rsidRDefault="00B91CF5" w:rsidP="00B91CF5">
      <w:pPr>
        <w:jc w:val="center"/>
        <w:rPr>
          <w:b/>
          <w:sz w:val="20"/>
        </w:rPr>
      </w:pPr>
    </w:p>
    <w:p w:rsidR="004D7779" w:rsidRDefault="00B91CF5">
      <w:bookmarkStart w:id="3" w:name="_GoBack"/>
      <w:bookmarkEnd w:id="3"/>
    </w:p>
    <w:sectPr w:rsidR="004D7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UkrainianBaltica">
    <w:altName w:val="Courier New"/>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F5"/>
    <w:rsid w:val="007548B0"/>
    <w:rsid w:val="00B91CF5"/>
    <w:rsid w:val="00F15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56132-AB9E-4256-8EE4-97DB2053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F5"/>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B91CF5"/>
    <w:pPr>
      <w:jc w:val="center"/>
    </w:pPr>
  </w:style>
  <w:style w:type="character" w:customStyle="1" w:styleId="a4">
    <w:name w:val="Без интервала Знак"/>
    <w:link w:val="a5"/>
    <w:uiPriority w:val="1"/>
    <w:locked/>
    <w:rsid w:val="00B91CF5"/>
    <w:rPr>
      <w:rFonts w:ascii="Calibri" w:eastAsia="Times New Roman" w:hAnsi="Calibri" w:cs="Times New Roman"/>
      <w:lang w:val="uk-UA" w:eastAsia="uk-UA"/>
    </w:rPr>
  </w:style>
  <w:style w:type="paragraph" w:styleId="a5">
    <w:name w:val="No Spacing"/>
    <w:link w:val="a4"/>
    <w:uiPriority w:val="1"/>
    <w:qFormat/>
    <w:rsid w:val="00B91CF5"/>
    <w:pPr>
      <w:spacing w:after="0" w:line="240" w:lineRule="auto"/>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2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1233</Words>
  <Characters>7030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Анжела</cp:lastModifiedBy>
  <cp:revision>1</cp:revision>
  <dcterms:created xsi:type="dcterms:W3CDTF">2021-12-21T07:05:00Z</dcterms:created>
  <dcterms:modified xsi:type="dcterms:W3CDTF">2021-12-21T07:05:00Z</dcterms:modified>
</cp:coreProperties>
</file>