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F46" w:rsidRDefault="00D77F46" w:rsidP="00D77F46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</w:p>
    <w:p w:rsidR="00D77F46" w:rsidRDefault="00D77F46" w:rsidP="00D77F46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</w:p>
    <w:p w:rsidR="00D77F46" w:rsidRDefault="00D77F46" w:rsidP="00D77F46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Додаток 1</w:t>
      </w:r>
    </w:p>
    <w:p w:rsidR="00D77F46" w:rsidRDefault="00D77F46" w:rsidP="00D77F46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до рішення ____ сесії Неполоковецької  селищної ради ____ скликання, </w:t>
      </w:r>
    </w:p>
    <w:p w:rsidR="00D77F46" w:rsidRDefault="00D77F46" w:rsidP="00D77F46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від ___________,  № __________</w:t>
      </w:r>
    </w:p>
    <w:p w:rsidR="00D77F46" w:rsidRDefault="00D77F46" w:rsidP="00D77F46">
      <w:pPr>
        <w:pStyle w:val="a3"/>
        <w:widowControl w:val="0"/>
        <w:ind w:left="5954" w:right="-1"/>
        <w:rPr>
          <w:b/>
          <w:lang w:val="uk-UA"/>
        </w:rPr>
      </w:pPr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pStyle w:val="a6"/>
        <w:widowControl w:val="0"/>
        <w:spacing w:before="0" w:after="0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СТАВКИ </w:t>
      </w:r>
      <w:r>
        <w:rPr>
          <w:rFonts w:ascii="Times New Roman" w:hAnsi="Times New Roman"/>
          <w:noProof/>
          <w:sz w:val="24"/>
          <w:szCs w:val="24"/>
          <w:lang w:val="ru-RU"/>
        </w:rPr>
        <w:br/>
        <w:t>земельного податку</w:t>
      </w:r>
    </w:p>
    <w:p w:rsidR="00D77F46" w:rsidRDefault="00D77F46" w:rsidP="00D77F46">
      <w:pPr>
        <w:pStyle w:val="a5"/>
        <w:widowControl w:val="0"/>
        <w:spacing w:before="0"/>
        <w:ind w:firstLine="0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     Ставки вводяться в дію з 01 січня 2022 року на необмежений термін.</w:t>
      </w:r>
    </w:p>
    <w:p w:rsidR="00D77F46" w:rsidRDefault="00D77F46" w:rsidP="00D77F46">
      <w:pPr>
        <w:pStyle w:val="a5"/>
        <w:widowControl w:val="0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D77F46" w:rsidRDefault="00D77F46" w:rsidP="00D77F46">
      <w:pPr>
        <w:pStyle w:val="a5"/>
        <w:widowControl w:val="0"/>
        <w:spacing w:before="0"/>
        <w:ind w:right="-1" w:firstLine="0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     Населені пункти,  на які поширюється дія рішення Неполоковецької селищної ради: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"/>
        <w:gridCol w:w="1370"/>
        <w:gridCol w:w="1521"/>
        <w:gridCol w:w="1344"/>
        <w:gridCol w:w="1077"/>
        <w:gridCol w:w="1097"/>
        <w:gridCol w:w="1077"/>
        <w:gridCol w:w="951"/>
        <w:gridCol w:w="5"/>
      </w:tblGrid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Код області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Код району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 xml:space="preserve">Код </w:t>
            </w: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br/>
              <w:t>згідно з КОАТУУ</w:t>
            </w:r>
          </w:p>
        </w:tc>
        <w:tc>
          <w:tcPr>
            <w:tcW w:w="29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Найменування населеного пункту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7322587001</w:t>
            </w:r>
          </w:p>
        </w:tc>
        <w:tc>
          <w:tcPr>
            <w:tcW w:w="29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с.Оршівці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7322580504</w:t>
            </w:r>
          </w:p>
        </w:tc>
        <w:tc>
          <w:tcPr>
            <w:tcW w:w="29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с.Реваківці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7322580503</w:t>
            </w:r>
          </w:p>
        </w:tc>
        <w:tc>
          <w:tcPr>
            <w:tcW w:w="29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с.Клокічка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7322580501</w:t>
            </w:r>
          </w:p>
        </w:tc>
        <w:tc>
          <w:tcPr>
            <w:tcW w:w="29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с.Берегомет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7322555700</w:t>
            </w:r>
          </w:p>
        </w:tc>
        <w:tc>
          <w:tcPr>
            <w:tcW w:w="29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смт.Неполоківці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7322555701</w:t>
            </w:r>
          </w:p>
        </w:tc>
        <w:tc>
          <w:tcPr>
            <w:tcW w:w="29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с.П'ядиківці</w:t>
            </w:r>
          </w:p>
        </w:tc>
      </w:tr>
      <w:tr w:rsidR="00D77F46" w:rsidTr="00D77F46">
        <w:trPr>
          <w:tblHeader/>
          <w:jc w:val="center"/>
        </w:trPr>
        <w:tc>
          <w:tcPr>
            <w:tcW w:w="275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 xml:space="preserve">  </w:t>
            </w: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Вид цільового призначення земель</w:t>
            </w:r>
          </w:p>
        </w:tc>
        <w:tc>
          <w:tcPr>
            <w:tcW w:w="22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Ставки податку</w:t>
            </w: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br/>
              <w:t>(відсотків нормативної грошової оцінки)</w:t>
            </w:r>
          </w:p>
        </w:tc>
      </w:tr>
      <w:tr w:rsidR="00D77F46" w:rsidTr="00D77F46">
        <w:trPr>
          <w:gridAfter w:val="1"/>
          <w:tblHeader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rPr>
                <w:rFonts w:eastAsia="Calibri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1" w:right="42"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1" w:right="42"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77F46" w:rsidTr="00D77F46">
        <w:trPr>
          <w:gridAfter w:val="1"/>
          <w:tblHeader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код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Найменування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для юридичних осіб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для фізичних осіб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для юридичних осіб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для фізичних осіб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5"/>
              <w:widowControl w:val="0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bCs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noProof/>
                <w:sz w:val="22"/>
                <w:lang w:val="en-US" w:eastAsia="ru-RU"/>
              </w:rPr>
              <w:t>01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5"/>
              <w:widowControl w:val="0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bCs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noProof/>
                <w:sz w:val="22"/>
                <w:lang w:val="en-US" w:eastAsia="ru-RU"/>
              </w:rPr>
              <w:t xml:space="preserve">Землі сільськогосподарського призначення 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ведення фермерського господарства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ведення особистого селянського господарства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ведення підсобного сільського господарства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індивідуального садівництва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колективного садівництва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городництва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сінокосіння і випасання худоби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дослідних і навчальних цілей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01.10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01.11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надання послуг у сільському господарстві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01.12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01.13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іншого сільськогосподарського призначення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01.14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02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житлової забудови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колективного житлового будівництва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індивідуальних гаражів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колективного гаражного будівництва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іншої житлової забудови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03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громадської забудови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закладів</w:t>
            </w:r>
            <w:r>
              <w:rPr>
                <w:b/>
                <w:bCs/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освіти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торгівлі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03.10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0,035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0,035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0,035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0,035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</w:tr>
      <w:tr w:rsidR="00D77F46" w:rsidTr="00D77F46">
        <w:trPr>
          <w:gridAfter w:val="1"/>
          <w:trHeight w:val="744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03.14</w:t>
            </w: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постійної діяльності органів МНС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04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природно-заповідного фонду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04.07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збереження та використання парків-пам'яток садово-паркового мистецтва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04.09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збереження та використання заповідних урочищ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trHeight w:val="732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04.10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збереження та використання пам'яток природи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trHeight w:val="842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after="0"/>
              <w:ind w:right="-108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06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after="0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uk-UA"/>
              </w:rPr>
              <w:t>Землі оздоровчого призначення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D77F46" w:rsidRDefault="00D77F46">
            <w:pPr>
              <w:pStyle w:val="a3"/>
              <w:spacing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(землі,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06.01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06.02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розробки родовищ природних лікувальних ресурсів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06.03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інших оздоровчих цілей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06.04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07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рекреаційного призначення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07.01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07.02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07.03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індивідуального дачного будівництва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07.04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колективного дачного будівництва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07.05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08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історико-культурного призначення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08.01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забезпечення охорони об'єктів культурної спадщини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08.03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іншого історико-культурного призначення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08.04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09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лісогосподарського призначення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09.01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ведення лісового господарства і пов'язаних з ним послуг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09.02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іншого лісогосподарського призначення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09.03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10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водного фонду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експлуатації та догляду за водними об'єктами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облаштування та догляду за прибережними захисними смугами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експлуатації та догляду за смугами відведення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догляду за береговими смугами водних шляхів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сінокосіння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рибогосподарських потреб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Для культурно-оздоровчих потреб, рекреаційних,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проведення науково-дослідних робіт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10.10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10.12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10.01 - 10.10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11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промисловості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11.03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транспорту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12.10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13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зв’язку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</w:t>
            </w:r>
            <w:r>
              <w:rPr>
                <w:b/>
                <w:bCs/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експлуатації будівель та споруд об'єктів поштового зв'язку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</w:t>
            </w:r>
            <w:r>
              <w:rPr>
                <w:b/>
                <w:bCs/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експлуатації інших технічних засобів зв'язку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13.01 - 13.03, 13.05 та для збереження і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</w:t>
            </w: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енергетики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14.02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запасу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резервного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spacing w:line="240" w:lineRule="atLeast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загального користування</w:t>
            </w:r>
          </w:p>
          <w:p w:rsidR="00D77F46" w:rsidRDefault="00D77F46">
            <w:pPr>
              <w:spacing w:line="240" w:lineRule="atLeast"/>
              <w:rPr>
                <w:b/>
                <w:bCs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(землі будь-якої категорії, які використовуються як майдани, вулиці, проїзди, шляхи, громадські пасовища,   сіножаті, набережні, пляжі, парки, зелені зони, сквери, бульвари, водні об'єкти  загального користування, а також інші землі, якщо рішенням відповідного органу державної влади чи місцевого самоврядування їх віднесено до земель загального користування)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gridAfter w:val="1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bCs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16 - 18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</w:tbl>
    <w:p w:rsidR="00D77F46" w:rsidRDefault="00D77F46" w:rsidP="00D77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:rsidR="00D77F46" w:rsidRDefault="00D77F46" w:rsidP="00D77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С</w:t>
      </w:r>
      <w:r>
        <w:rPr>
          <w:sz w:val="28"/>
          <w:szCs w:val="28"/>
          <w:lang w:val="uk-UA"/>
        </w:rPr>
        <w:t>тавка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земельного податку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 земельні ділянки, які перебувають у постійному користуванні суб’єктів господарювання (крім державної та комунальної форми власності) у розмірі  </w:t>
      </w:r>
      <w:r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1,05  відсотока від їх нормативної грошової оцінки. </w:t>
      </w:r>
    </w:p>
    <w:p w:rsidR="00D77F46" w:rsidRDefault="00D77F46" w:rsidP="00D77F46">
      <w:pPr>
        <w:ind w:firstLine="720"/>
        <w:jc w:val="both"/>
        <w:textAlignment w:val="baseline"/>
        <w:rPr>
          <w:b/>
          <w:color w:val="000000"/>
          <w:u w:val="single"/>
          <w:shd w:val="clear" w:color="auto" w:fill="FFFFFF"/>
          <w:lang w:val="uk-UA"/>
        </w:rPr>
      </w:pPr>
    </w:p>
    <w:p w:rsidR="00D77F46" w:rsidRDefault="00D77F46" w:rsidP="00D77F46">
      <w:pPr>
        <w:ind w:firstLine="708"/>
        <w:jc w:val="both"/>
        <w:rPr>
          <w:lang w:val="uk-UA"/>
        </w:rPr>
      </w:pPr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rPr>
          <w:b/>
          <w:lang w:val="uk-UA"/>
        </w:rPr>
      </w:pPr>
      <w:r>
        <w:rPr>
          <w:b/>
          <w:lang w:val="uk-UA"/>
        </w:rPr>
        <w:t xml:space="preserve">          Секретар  селищної 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Валентина Ілюк</w:t>
      </w:r>
    </w:p>
    <w:p w:rsidR="00051FBD" w:rsidRDefault="00051FBD">
      <w:bookmarkStart w:id="0" w:name="_GoBack"/>
      <w:bookmarkEnd w:id="0"/>
    </w:p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84"/>
    <w:rsid w:val="00051FBD"/>
    <w:rsid w:val="004F5184"/>
    <w:rsid w:val="00D7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05E35-424E-4120-A896-BF12BE5B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semiHidden/>
    <w:locked/>
    <w:rsid w:val="00D77F4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semiHidden/>
    <w:unhideWhenUsed/>
    <w:rsid w:val="00D77F46"/>
    <w:pPr>
      <w:spacing w:after="120"/>
    </w:pPr>
    <w:rPr>
      <w:lang w:val="x-none" w:eastAsia="en-US"/>
    </w:rPr>
  </w:style>
  <w:style w:type="character" w:customStyle="1" w:styleId="a4">
    <w:name w:val="Нормальний текст Знак"/>
    <w:link w:val="a5"/>
    <w:locked/>
    <w:rsid w:val="00D77F46"/>
    <w:rPr>
      <w:rFonts w:ascii="Antiqua" w:hAnsi="Antiqua"/>
      <w:sz w:val="26"/>
      <w:lang w:val="uk-UA" w:eastAsia="ar-SA"/>
    </w:rPr>
  </w:style>
  <w:style w:type="paragraph" w:customStyle="1" w:styleId="a5">
    <w:name w:val="Нормальний текст"/>
    <w:basedOn w:val="a"/>
    <w:link w:val="a4"/>
    <w:rsid w:val="00D77F46"/>
    <w:pPr>
      <w:suppressAutoHyphens/>
      <w:spacing w:before="120"/>
      <w:ind w:firstLine="567"/>
      <w:jc w:val="both"/>
    </w:pPr>
    <w:rPr>
      <w:rFonts w:ascii="Antiqua" w:eastAsiaTheme="minorHAnsi" w:hAnsi="Antiqua" w:cstheme="minorBidi"/>
      <w:sz w:val="26"/>
      <w:szCs w:val="22"/>
      <w:lang w:val="uk-UA" w:eastAsia="ar-SA"/>
    </w:rPr>
  </w:style>
  <w:style w:type="paragraph" w:customStyle="1" w:styleId="a6">
    <w:name w:val="Назва документа"/>
    <w:basedOn w:val="a"/>
    <w:next w:val="a5"/>
    <w:rsid w:val="00D77F4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Web">
    <w:name w:val="Обычный (Web)"/>
    <w:basedOn w:val="a"/>
    <w:next w:val="a3"/>
    <w:rsid w:val="00D77F46"/>
    <w:pPr>
      <w:spacing w:before="100" w:beforeAutospacing="1" w:after="100" w:afterAutospacing="1"/>
    </w:pPr>
    <w:rPr>
      <w:rFonts w:ascii="Verdana" w:hAnsi="Verdana"/>
      <w:color w:val="4B614B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1549</Words>
  <Characters>8833</Characters>
  <Application>Microsoft Office Word</Application>
  <DocSecurity>0</DocSecurity>
  <Lines>73</Lines>
  <Paragraphs>20</Paragraphs>
  <ScaleCrop>false</ScaleCrop>
  <Company/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2021-05-25T13:07:00Z</dcterms:created>
  <dcterms:modified xsi:type="dcterms:W3CDTF">2021-05-25T13:07:00Z</dcterms:modified>
</cp:coreProperties>
</file>