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70" w:rsidRPr="000F745C" w:rsidRDefault="00D93770" w:rsidP="00D93770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4169D02" wp14:editId="629214AA">
            <wp:extent cx="428625" cy="581025"/>
            <wp:effectExtent l="19050" t="0" r="9525" b="0"/>
            <wp:docPr id="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D93770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D93770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D93770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D93770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D93770" w:rsidRPr="00935055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D93770" w:rsidRPr="00935055" w:rsidRDefault="00D93770" w:rsidP="00D93770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D93770" w:rsidRDefault="00D93770" w:rsidP="00D93770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затвердження проекту землеустрою 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щодо відведення земельної ділянки в оренду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терміном на 10 (десять) років для ведення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особистого селянського господарства за 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рахунок земель  запасу комунальної власності 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розташованої на території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Киселівської</w:t>
      </w:r>
      <w:proofErr w:type="spellEnd"/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сільської ради Чернігівського району 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Чернігівської області</w:t>
      </w:r>
    </w:p>
    <w:p w:rsidR="00D93770" w:rsidRDefault="00D93770" w:rsidP="00D93770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</w:p>
    <w:p w:rsidR="00D93770" w:rsidRDefault="00D93770" w:rsidP="00D937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Геворгяна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Армена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затвердження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оренду терміном на 10 (десять) років для ведення особистого селянського господарства за рахунок земель запасу комунальної власності, яка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93770" w:rsidRDefault="00D93770" w:rsidP="00D93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1.Затвердити</w:t>
      </w:r>
      <w:r w:rsidRPr="00C06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Геворгяну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Армену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оренду  терміном на 10 (десять) років для ведення особистого селянського господарства за рахунок земель запасу комунальної власності   площею 0,4787 га кадастровий номер 7425586900:01:000:0394,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D33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Геворгяну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Армену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оренду земельну ділянку площею 0,4787 га кадастровий номер 7425586900:01:000:0394 на 10 (десять) років для ведення особистого селянського господарства , за умови: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використання земельної ділянки за цільовим призначенням;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своєчасної оплати орендної плати за землю;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додержання вимог законодавства про охорону довкілля;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порушення прав землекористувачів суміжних земельних ділянок.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2.Встановити орендну плату, з обов’язковим переглядом ставки орендної плати 1 раз на 2 роки , в розмірі </w:t>
      </w:r>
      <w:r w:rsidRPr="00600E6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12%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 грошової оцінки земельної ділянки  за рік користування земельною  ділянкою  загальною площею 0,4787  га кадастровий номер 7425586900:01:000:0394.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Сільськогму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голові  В.М.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укласти  та підписати договір оренди земельної ділянки   площею 0,4787 га кадастровий номер 7425586900:01:000:0394 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Геворгяном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Арменом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Гудерзійовичем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Рекомендувати орендарю протягом одного місяця з дня укладання та підписання договору оренди землі провести його  державну реєстрацію відповідно до вимог чинного законодавства та надати до сільської ради підтверджуючі документи.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5.Контроль за виконанням цього рішення покласти на </w:t>
      </w:r>
      <w:r w:rsidR="00411498">
        <w:rPr>
          <w:rFonts w:ascii="Times New Roman" w:hAnsi="Times New Roman" w:cs="Times New Roman"/>
          <w:sz w:val="28"/>
          <w:szCs w:val="28"/>
          <w:lang w:val="uk-UA"/>
        </w:rPr>
        <w:t>відділ земельних відносин, архітектури та послуг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770" w:rsidRPr="00D332FA" w:rsidRDefault="00D93770" w:rsidP="00D93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770" w:rsidRDefault="00D93770" w:rsidP="00D937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3770" w:rsidRDefault="00D93770" w:rsidP="00D937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  </w:t>
      </w:r>
    </w:p>
    <w:p w:rsidR="00370202" w:rsidRDefault="00370202"/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5E"/>
    <w:rsid w:val="00370202"/>
    <w:rsid w:val="00411498"/>
    <w:rsid w:val="004D345E"/>
    <w:rsid w:val="00D9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70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7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70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7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Company>Krokoz™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2022-01-17T20:43:00Z</dcterms:created>
  <dcterms:modified xsi:type="dcterms:W3CDTF">2022-01-17T21:05:00Z</dcterms:modified>
</cp:coreProperties>
</file>