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C19" w:rsidRDefault="00D70C19" w:rsidP="00D70C19">
      <w:pPr>
        <w:tabs>
          <w:tab w:val="left" w:pos="5730"/>
          <w:tab w:val="left" w:pos="6135"/>
        </w:tabs>
        <w:spacing w:after="0" w:line="240" w:lineRule="auto"/>
        <w:jc w:val="center"/>
        <w:rPr>
          <w:lang w:val="uk-UA"/>
        </w:rPr>
      </w:pPr>
      <w:r w:rsidRPr="008D0ACC">
        <w:object w:dxaOrig="840" w:dyaOrig="1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49.8pt" o:ole="" fillcolor="window">
            <v:imagedata r:id="rId5" o:title=""/>
          </v:shape>
          <o:OLEObject Type="Embed" ProgID="MSDraw" ShapeID="_x0000_i1025" DrawAspect="Content" ObjectID="_1704719758" r:id="rId6">
            <o:FieldCodes>\* MERGEFORMAT</o:FieldCodes>
          </o:OLEObject>
        </w:object>
      </w:r>
    </w:p>
    <w:p w:rsidR="00D70C19" w:rsidRPr="004C242E" w:rsidRDefault="00D70C19" w:rsidP="00D70C19">
      <w:pPr>
        <w:pStyle w:val="a6"/>
        <w:spacing w:before="120" w:after="120"/>
        <w:rPr>
          <w:sz w:val="28"/>
          <w:szCs w:val="28"/>
        </w:rPr>
      </w:pPr>
      <w:r w:rsidRPr="004C242E">
        <w:rPr>
          <w:sz w:val="28"/>
          <w:szCs w:val="28"/>
        </w:rPr>
        <w:t>У К Р А Ї Н А</w:t>
      </w:r>
    </w:p>
    <w:p w:rsidR="00D70C19" w:rsidRPr="009A4015" w:rsidRDefault="00D70C19" w:rsidP="00D70C19">
      <w:pPr>
        <w:pStyle w:val="1"/>
        <w:spacing w:before="120" w:after="1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ФІНАНСОВИЙ ВІДДІЛ КИСЕЛІВСЬКОЇ</w:t>
      </w:r>
      <w:r w:rsidRPr="002E2300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2E2300">
        <w:rPr>
          <w:rFonts w:ascii="Times New Roman" w:hAnsi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И</w:t>
      </w:r>
    </w:p>
    <w:p w:rsidR="00D70C19" w:rsidRDefault="00D70C19" w:rsidP="00D70C19">
      <w:pPr>
        <w:pStyle w:val="2"/>
        <w:tabs>
          <w:tab w:val="left" w:pos="2688"/>
        </w:tabs>
        <w:spacing w:before="120" w:after="120"/>
        <w:rPr>
          <w:sz w:val="28"/>
          <w:szCs w:val="28"/>
        </w:rPr>
      </w:pPr>
      <w:r>
        <w:rPr>
          <w:sz w:val="28"/>
          <w:szCs w:val="28"/>
        </w:rPr>
        <w:t>ЧЕРНІГІВСЬКОГО РАЙОНУ ЧЕРНІГІВСЬКОЇ ОБЛАСТІ</w:t>
      </w:r>
    </w:p>
    <w:p w:rsidR="00D70C19" w:rsidRPr="006671A9" w:rsidRDefault="00D70C19" w:rsidP="00D70C19">
      <w:pPr>
        <w:pBdr>
          <w:bottom w:val="thinThickSmallGap" w:sz="18" w:space="3" w:color="auto"/>
        </w:pBdr>
        <w:spacing w:before="120" w:after="120"/>
        <w:jc w:val="center"/>
        <w:rPr>
          <w:sz w:val="18"/>
          <w:szCs w:val="18"/>
          <w:lang w:val="uk-UA"/>
        </w:rPr>
      </w:pPr>
      <w:r w:rsidRPr="006671A9">
        <w:rPr>
          <w:sz w:val="18"/>
          <w:szCs w:val="18"/>
          <w:lang w:val="uk-UA"/>
        </w:rPr>
        <w:t xml:space="preserve">вул. Молодіжна, 10, с. </w:t>
      </w:r>
      <w:proofErr w:type="spellStart"/>
      <w:r w:rsidRPr="006671A9">
        <w:rPr>
          <w:sz w:val="18"/>
          <w:szCs w:val="18"/>
          <w:lang w:val="uk-UA"/>
        </w:rPr>
        <w:t>Киселівка</w:t>
      </w:r>
      <w:proofErr w:type="spellEnd"/>
      <w:r w:rsidRPr="006671A9">
        <w:rPr>
          <w:sz w:val="18"/>
          <w:szCs w:val="18"/>
          <w:lang w:val="uk-UA"/>
        </w:rPr>
        <w:t xml:space="preserve">, 15530, тел./факс: (0462) 697-070, </w:t>
      </w:r>
      <w:r w:rsidRPr="006671A9">
        <w:rPr>
          <w:sz w:val="18"/>
          <w:szCs w:val="18"/>
          <w:lang w:val="en-US"/>
        </w:rPr>
        <w:t>e</w:t>
      </w:r>
      <w:r w:rsidRPr="006671A9">
        <w:rPr>
          <w:sz w:val="18"/>
          <w:szCs w:val="18"/>
          <w:lang w:val="uk-UA"/>
        </w:rPr>
        <w:t>-</w:t>
      </w:r>
      <w:r w:rsidRPr="006671A9">
        <w:rPr>
          <w:sz w:val="18"/>
          <w:szCs w:val="18"/>
          <w:lang w:val="en-US"/>
        </w:rPr>
        <w:t>mail</w:t>
      </w:r>
      <w:r w:rsidRPr="006671A9">
        <w:rPr>
          <w:sz w:val="18"/>
          <w:szCs w:val="18"/>
          <w:lang w:val="uk-UA"/>
        </w:rPr>
        <w:t xml:space="preserve">: </w:t>
      </w:r>
      <w:proofErr w:type="spellStart"/>
      <w:r w:rsidRPr="006671A9">
        <w:rPr>
          <w:sz w:val="18"/>
          <w:szCs w:val="18"/>
          <w:lang w:val="en-US"/>
        </w:rPr>
        <w:t>kiselivka</w:t>
      </w:r>
      <w:proofErr w:type="spellEnd"/>
      <w:r w:rsidRPr="006671A9">
        <w:rPr>
          <w:sz w:val="18"/>
          <w:szCs w:val="18"/>
          <w:lang w:val="uk-UA"/>
        </w:rPr>
        <w:t>-</w:t>
      </w:r>
      <w:proofErr w:type="spellStart"/>
      <w:r w:rsidRPr="006671A9">
        <w:rPr>
          <w:sz w:val="18"/>
          <w:szCs w:val="18"/>
          <w:lang w:val="en-US"/>
        </w:rPr>
        <w:t>sr</w:t>
      </w:r>
      <w:proofErr w:type="spellEnd"/>
      <w:r w:rsidRPr="006671A9">
        <w:rPr>
          <w:sz w:val="18"/>
          <w:szCs w:val="18"/>
          <w:lang w:val="uk-UA"/>
        </w:rPr>
        <w:t>@</w:t>
      </w:r>
      <w:proofErr w:type="spellStart"/>
      <w:r w:rsidRPr="006671A9">
        <w:rPr>
          <w:sz w:val="18"/>
          <w:szCs w:val="18"/>
          <w:lang w:val="en-US"/>
        </w:rPr>
        <w:t>ukr</w:t>
      </w:r>
      <w:proofErr w:type="spellEnd"/>
      <w:r w:rsidRPr="006671A9">
        <w:rPr>
          <w:sz w:val="18"/>
          <w:szCs w:val="18"/>
          <w:lang w:val="uk-UA"/>
        </w:rPr>
        <w:t>.</w:t>
      </w:r>
      <w:r w:rsidRPr="006671A9">
        <w:rPr>
          <w:sz w:val="18"/>
          <w:szCs w:val="18"/>
          <w:lang w:val="en-US"/>
        </w:rPr>
        <w:t>net</w:t>
      </w:r>
      <w:r w:rsidRPr="006671A9">
        <w:rPr>
          <w:sz w:val="18"/>
          <w:szCs w:val="18"/>
          <w:lang w:val="uk-UA"/>
        </w:rPr>
        <w:t>, код згідно з ЄДРПОУ 43910322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26"/>
        <w:gridCol w:w="340"/>
        <w:gridCol w:w="1474"/>
        <w:gridCol w:w="1108"/>
        <w:gridCol w:w="850"/>
        <w:gridCol w:w="1985"/>
        <w:gridCol w:w="425"/>
        <w:gridCol w:w="1701"/>
      </w:tblGrid>
      <w:tr w:rsidR="00D70C19" w:rsidRPr="006671A9" w:rsidTr="00D70C19">
        <w:trPr>
          <w:trHeight w:hRule="exact" w:val="300"/>
        </w:trPr>
        <w:tc>
          <w:tcPr>
            <w:tcW w:w="1926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bottom"/>
          </w:tcPr>
          <w:p w:rsidR="00D70C19" w:rsidRPr="006671A9" w:rsidRDefault="00D70C19" w:rsidP="00D70C1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26.01.2022</w:t>
            </w:r>
          </w:p>
        </w:tc>
        <w:tc>
          <w:tcPr>
            <w:tcW w:w="340" w:type="dxa"/>
            <w:vAlign w:val="bottom"/>
          </w:tcPr>
          <w:p w:rsidR="00D70C19" w:rsidRPr="006671A9" w:rsidRDefault="00D70C19" w:rsidP="00D70C19">
            <w:pPr>
              <w:keepNext/>
              <w:spacing w:before="6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6671A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bottom"/>
          </w:tcPr>
          <w:p w:rsidR="00D70C19" w:rsidRPr="00B27D54" w:rsidRDefault="00D70C19" w:rsidP="00D70C1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71A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18-04/10</w:t>
            </w:r>
          </w:p>
        </w:tc>
        <w:tc>
          <w:tcPr>
            <w:tcW w:w="1108" w:type="dxa"/>
            <w:vAlign w:val="bottom"/>
          </w:tcPr>
          <w:p w:rsidR="00D70C19" w:rsidRPr="006671A9" w:rsidRDefault="00D70C19" w:rsidP="00D70C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bottom"/>
          </w:tcPr>
          <w:p w:rsidR="00D70C19" w:rsidRPr="006671A9" w:rsidRDefault="00D70C19" w:rsidP="00D70C19">
            <w:pPr>
              <w:ind w:left="-45"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71A9">
              <w:rPr>
                <w:rFonts w:ascii="Times New Roman" w:hAnsi="Times New Roman"/>
                <w:sz w:val="28"/>
                <w:szCs w:val="28"/>
              </w:rPr>
              <w:t>На №</w:t>
            </w:r>
          </w:p>
        </w:tc>
        <w:tc>
          <w:tcPr>
            <w:tcW w:w="1985" w:type="dxa"/>
            <w:tcBorders>
              <w:bottom w:val="single" w:sz="4" w:space="0" w:color="808080"/>
            </w:tcBorders>
            <w:vAlign w:val="bottom"/>
          </w:tcPr>
          <w:p w:rsidR="00D70C19" w:rsidRPr="00B27D54" w:rsidRDefault="00D70C19" w:rsidP="00D70C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25" w:type="dxa"/>
            <w:vAlign w:val="bottom"/>
          </w:tcPr>
          <w:p w:rsidR="00D70C19" w:rsidRPr="006671A9" w:rsidRDefault="00D70C19" w:rsidP="00D70C19">
            <w:pPr>
              <w:keepNext/>
              <w:spacing w:before="6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71A9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</w:p>
        </w:tc>
        <w:tc>
          <w:tcPr>
            <w:tcW w:w="1701" w:type="dxa"/>
            <w:tcBorders>
              <w:bottom w:val="single" w:sz="4" w:space="0" w:color="808080"/>
            </w:tcBorders>
            <w:vAlign w:val="bottom"/>
          </w:tcPr>
          <w:p w:rsidR="00D70C19" w:rsidRPr="00B27D54" w:rsidRDefault="00D70C19" w:rsidP="00D70C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70C19" w:rsidRDefault="00D70C19" w:rsidP="003838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70C19" w:rsidRDefault="002C54B1" w:rsidP="003838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D70C19" w:rsidRPr="00D70C19" w:rsidRDefault="008108CF" w:rsidP="003838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383815"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Інформація</w:t>
      </w:r>
      <w:proofErr w:type="spellEnd"/>
      <w:r w:rsidR="00383815"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про </w:t>
      </w:r>
      <w:proofErr w:type="spellStart"/>
      <w:r w:rsidR="00383815"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результати</w:t>
      </w:r>
      <w:proofErr w:type="spellEnd"/>
      <w:r w:rsidR="00383815"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 </w:t>
      </w:r>
      <w:proofErr w:type="spellStart"/>
      <w:r w:rsidR="00383815"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роботи</w:t>
      </w:r>
      <w:proofErr w:type="spellEnd"/>
      <w:r w:rsidR="00383815" w:rsidRPr="00D70C1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proofErr w:type="spellStart"/>
      <w:r w:rsidR="00383815"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фінансового</w:t>
      </w:r>
      <w:proofErr w:type="spellEnd"/>
      <w:r w:rsidR="00383815"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E1682C"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відділу</w:t>
      </w:r>
      <w:r w:rsidR="00383815"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383815" w:rsidRPr="00D70C19" w:rsidRDefault="004664B6" w:rsidP="003838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Киселівської</w:t>
      </w:r>
      <w:proofErr w:type="spellEnd"/>
      <w:r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сільської</w:t>
      </w:r>
      <w:r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ради за 20</w:t>
      </w:r>
      <w:r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21</w:t>
      </w:r>
      <w:r w:rsidR="00383815"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="00383815" w:rsidRPr="00D70C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рік</w:t>
      </w:r>
      <w:proofErr w:type="spellEnd"/>
    </w:p>
    <w:p w:rsidR="00383815" w:rsidRPr="006A31E4" w:rsidRDefault="00383815" w:rsidP="003838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Основні</w:t>
      </w:r>
      <w:proofErr w:type="spellEnd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завдання</w:t>
      </w:r>
      <w:proofErr w:type="spellEnd"/>
    </w:p>
    <w:p w:rsidR="004664B6" w:rsidRPr="006A31E4" w:rsidRDefault="00383815" w:rsidP="004664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Бюджетного кодексу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місцевий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фінансовий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-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контролю за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витрачанням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розпорядниками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пов'язан</w:t>
      </w:r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</w:t>
      </w:r>
      <w:r w:rsidR="004664B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нням</w:t>
      </w:r>
      <w:proofErr w:type="spellEnd"/>
      <w:r w:rsidR="004664B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коштами </w:t>
      </w:r>
      <w:proofErr w:type="spellStart"/>
      <w:r w:rsidR="004664B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4664B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бюджету.</w:t>
      </w:r>
    </w:p>
    <w:p w:rsidR="004664B6" w:rsidRPr="006A31E4" w:rsidRDefault="00E1682C" w:rsidP="004664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своїй діяльності фінансовий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керується Конституцією України, Бюджетним кодексом України, Податковим кодексом України, законами України, постановами Верховної Ради України, актами Президента України, нормативно-правовими актами Кабінету Міністрів України, Міністерства фінансів України, департамен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 фінансів Чернігівської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облдержадміністрації, рішеннями обласної та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рад, розпорядженнями голови обласної державної адміністрації та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голови, рішеннями виконкому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ради,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також Положенням про фінансовий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забезпечує їх викона</w:t>
      </w:r>
      <w:r w:rsidR="004664B6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 в межах компетенції.</w:t>
      </w:r>
    </w:p>
    <w:p w:rsidR="00383815" w:rsidRPr="006A31E4" w:rsidRDefault="00383815" w:rsidP="004664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процесі вирішення пріоритетності виконання завдань, передбачених функціональними повноваженнями, робота фінансового 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ґрунтується на принципах законності, обґрунтованості, збалансованості, цільового використання бюджетних коштів та першочерговості фінансування соціально захищених статей видатків.</w:t>
      </w:r>
    </w:p>
    <w:p w:rsidR="00383815" w:rsidRPr="006A31E4" w:rsidRDefault="00383815" w:rsidP="009366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Аналітична</w:t>
      </w:r>
      <w:proofErr w:type="spellEnd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робота</w:t>
      </w:r>
    </w:p>
    <w:p w:rsidR="00936655" w:rsidRPr="006A31E4" w:rsidRDefault="00936655" w:rsidP="009366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робота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здійснювалась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планом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Крім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виконувались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контрольні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Чернігівської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доручення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облдержадміністрації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межах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496C" w:rsidRPr="006A31E4" w:rsidRDefault="00383815" w:rsidP="009366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статті 78 Бюджетного кодексу України в процесі виконання бюджету міста за доходами та видатками щомісяця протягом звітного періоду здійснюв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ався аналіз та моніторинг щодо: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стану виконання доходної та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видаткової частин бюджету громади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цілому та в розрізі дохід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них джерел та галузей видатків;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очікуваного виконання передбачених помісячним розписом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доходів загального та с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пеціального фондів бюджету громади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місяць та наростаючим підсумком з початку року 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розрізі джерел доходів;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податкового боргу на підставі отриманої інформації від податкового органу, його динаміку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розрізі дохідних джерел та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найбільших підприємств-боржників, в тому числі по підприємств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ах комунальної форми власності;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стану надходжень 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громади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загального та спеціального фондів в розрізі кодів класифікації доходів;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видаткової частини бюджету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кодам програмної класифікації видатків та кредитування місцевих бюджетів і кодам економічної класифікації видат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ків;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фонду заробітної плати та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соціальних виплат населенню;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кількості фактично зайнятих штатних посад працівників б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юджетних установ і організацій;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коштів, отриманих субвенцій з державного та о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бласного бюджетів до місцевого;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аналізу стану кредиторської та дебіторської заборгованос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тей в розрізі бюджетних установ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опрацьовувались та готувались відповіді на депутатські запити, листи підприємств і установ з питань, що належать до комп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етенції фінансового 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93665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2021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виконувались контрольні завдання Міністерства фінансів України, облдержадміністрації, Департаменту фінансів 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Чернігівської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державної адміністрації та завдання 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 голови, заступника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 у визначе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 терміни та у повному обсязі.</w:t>
      </w:r>
    </w:p>
    <w:p w:rsidR="0072496C" w:rsidRPr="006A31E4" w:rsidRDefault="0072496C" w:rsidP="009366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3815" w:rsidRDefault="00383815" w:rsidP="0072496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gram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Методична</w:t>
      </w:r>
      <w:proofErr w:type="gramEnd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робота</w:t>
      </w:r>
    </w:p>
    <w:p w:rsidR="006A31E4" w:rsidRPr="006A31E4" w:rsidRDefault="001D6310" w:rsidP="0072496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72496C" w:rsidRPr="006A31E4" w:rsidRDefault="00383815" w:rsidP="007249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відповідну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Опрацьовувались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5A6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проекти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</w:t>
      </w:r>
      <w:proofErr w:type="spellEnd"/>
      <w:r w:rsidR="003815A6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надавались до них пропозиції</w:t>
      </w:r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оглядові</w:t>
      </w:r>
      <w:proofErr w:type="spellEnd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листи</w:t>
      </w:r>
      <w:proofErr w:type="spellEnd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="0072496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496C" w:rsidRPr="006A31E4" w:rsidRDefault="003815A6" w:rsidP="007249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безпосередньо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начальником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приймалась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нарадах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засіданнях виконкому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496C" w:rsidRPr="006A31E4" w:rsidRDefault="0072496C" w:rsidP="007249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Надавались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консультації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методична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15A6" w:rsidRPr="006A31E4" w:rsidRDefault="003815A6" w:rsidP="007249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Надавалась допомога головним розпорядникам бюджетних коштів щодо здійснення реєстрації учасників бюджетного процесу на місцевому рівні комп’ютерної програми Міністерства фінансів «Інформаційно</w:t>
      </w:r>
      <w:r w:rsidR="00DF099A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аналітична система управління плануванням та виконанням місцевих бюджетів «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LOGICA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згідно методичних рекомендацій; допомога та консультації щодо впровадження даної комп’ютерної програми для супроводження на всіх рівнях процесу підготовки та моніторингу  виконання бюджету. </w:t>
      </w:r>
    </w:p>
    <w:p w:rsidR="0072496C" w:rsidRPr="006A31E4" w:rsidRDefault="0072496C" w:rsidP="007249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383815" w:rsidRPr="006A31E4" w:rsidRDefault="00383815" w:rsidP="00D946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Організаційна робота</w:t>
      </w:r>
    </w:p>
    <w:p w:rsidR="001647E1" w:rsidRPr="006A31E4" w:rsidRDefault="00D9463B" w:rsidP="001647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Упродовж 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здійснювалась координація учасників бюджетного процесу по забезпеченню виконання дохідної і видаткової частин бюджету </w:t>
      </w:r>
      <w:r w:rsidR="000A298B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саме: координувалась робота з головними розпорядниками бюджетних коштів, управлінням державної казначейської служби, ГУ ДПС у </w:t>
      </w:r>
      <w:r w:rsidR="000A298B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Чернігівській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області, підприємствами та установами </w:t>
      </w:r>
      <w:r w:rsidR="000A298B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напрямку наповнення дохі</w:t>
      </w:r>
      <w:r w:rsidR="001647E1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дної частини місцевих бюджетів.</w:t>
      </w:r>
    </w:p>
    <w:p w:rsidR="001647E1" w:rsidRPr="006A31E4" w:rsidRDefault="001647E1" w:rsidP="001647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Складений ,  затверджений   та поданий до органу Казначейства розпис доходів і видатків сільського бюджету на 2021 рік, бюджетних асигнувань по головних розпорядниках бюджетних коштів з помісячним розподілом відповідно до бюджетної класифікації.</w:t>
      </w:r>
    </w:p>
    <w:p w:rsidR="001647E1" w:rsidRPr="006A31E4" w:rsidRDefault="001647E1" w:rsidP="00D94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463B" w:rsidRPr="006A31E4" w:rsidRDefault="00383815" w:rsidP="00D94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Вносились зміни до річного, помісячного розпису доходів та видатків бюджету загального і спеціального фондів відповідно до бюджетного законодавства, складались довідки про уточнення показників та надавались управлінню державної казначейської служби у </w:t>
      </w:r>
      <w:r w:rsidR="000A298B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Чернігівському районі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240DC" w:rsidRPr="006A31E4" w:rsidRDefault="00383815" w:rsidP="00D94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робота по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формуванню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прогнозу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</w:t>
      </w:r>
      <w:r w:rsidR="000A298B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громади</w:t>
      </w:r>
      <w:r w:rsidR="000A298B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доходах </w:t>
      </w:r>
      <w:proofErr w:type="spellStart"/>
      <w:r w:rsidR="000A298B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0A298B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A298B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видатках</w:t>
      </w:r>
      <w:proofErr w:type="spellEnd"/>
      <w:r w:rsidR="000A298B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2-2024 роки та проекту бюджету на 2022</w:t>
      </w:r>
      <w:r w:rsidR="00615AE8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615AE8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615AE8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="00615AE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 т.ч. в</w:t>
      </w:r>
      <w:r w:rsidR="000A298B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5AE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ІАС «</w:t>
      </w:r>
      <w:r w:rsidR="00615AE8" w:rsidRPr="006A31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LOGICA</w:t>
      </w:r>
      <w:r w:rsidR="00615AE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A27E1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37A13" w:rsidRPr="006A31E4" w:rsidRDefault="00337A13" w:rsidP="00D94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Проведено організаційну роботу  щодо складання та розгляду прогнозу бюджету на середньостроковий період, складання проекту бюджету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територіальної громади на 2022-2024 рр.</w:t>
      </w:r>
    </w:p>
    <w:p w:rsidR="00337A13" w:rsidRPr="006A31E4" w:rsidRDefault="00337A13" w:rsidP="00D94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Доведено до головних розпорядників коштів  інструкції з підготовки пропозицій до прогнозу сільського бюджету на 2022-2024 рр.</w:t>
      </w:r>
    </w:p>
    <w:p w:rsidR="00337A13" w:rsidRPr="006A31E4" w:rsidRDefault="00337A13" w:rsidP="00D94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Проведено формування даних по місцевих податках та зборах, прогнозування обсягів доходів місцевого бюджету , визначення обсягів фінансування місцевого бюджету , повернення кредитів до місцевого бюджету та орієнтовних граничних показників видатків сільського бюджету на середньостроковий період 2022-2024 р. на підставі прогнозу економічного і соціального розвитку України та території  громади , аналізу виконання сільського бюджету у попередніх та поточному бюджетних періодах.</w:t>
      </w:r>
    </w:p>
    <w:p w:rsidR="00337A13" w:rsidRPr="006A31E4" w:rsidRDefault="00337A13" w:rsidP="00337A13">
      <w:pPr>
        <w:shd w:val="clear" w:color="auto" w:fill="FFFFFF"/>
        <w:spacing w:after="0" w:line="240" w:lineRule="auto"/>
        <w:ind w:firstLine="709"/>
        <w:jc w:val="both"/>
        <w:rPr>
          <w:lang w:val="uk-UA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Здійснено аналіз пропозицій головних розпорядників коштів до прогнозу сільського бюджету на відповідність доведеним орієнтовним граничним показникам видатків місцевого бюджету і вимогам доведених інструкцій та проведення погоджувальних нарад з головними розпорядниками коштів та подання до виконавчого комітету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прогнозу бюджету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територіальної громади.</w:t>
      </w:r>
      <w:r w:rsidRPr="006A31E4">
        <w:rPr>
          <w:lang w:val="uk-UA"/>
        </w:rPr>
        <w:t xml:space="preserve"> </w:t>
      </w:r>
    </w:p>
    <w:p w:rsidR="00337A13" w:rsidRPr="006A31E4" w:rsidRDefault="00337A13" w:rsidP="00337A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Формування рішення прогнозу бюджету з додатками  в системі ІАС «Місцеві бюджети» та системі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Logica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37A13" w:rsidRPr="006A31E4" w:rsidRDefault="00337A13" w:rsidP="00337A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lang w:val="uk-UA"/>
        </w:rPr>
        <w:t xml:space="preserve">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Подання прогнозу бюджету Подання прогнозу бюджету Подання прогнозу бюджету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територіальної громади разом з фінансово-економічним обґрунтуванням до місцевої ради для розгляду в порядку, визначеному радою. </w:t>
      </w:r>
    </w:p>
    <w:p w:rsidR="00337A13" w:rsidRPr="006A31E4" w:rsidRDefault="00337A13" w:rsidP="00D94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Доведення до головних розпорядників бюджетних коштів орієнтовних граничних показників видатків сільського бюджету та надання кредитів з сільського бюджету на середньостроковий період.</w:t>
      </w:r>
    </w:p>
    <w:p w:rsidR="00337A13" w:rsidRPr="006A31E4" w:rsidRDefault="00383815" w:rsidP="00D94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робота по</w:t>
      </w:r>
      <w:r w:rsidR="005C69F3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proofErr w:type="spellStart"/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="001240D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</w:t>
      </w:r>
      <w:proofErr w:type="spellEnd"/>
      <w:r w:rsidR="001240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про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240D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="001240D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1240D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зборів</w:t>
      </w:r>
      <w:proofErr w:type="spellEnd"/>
      <w:r w:rsidR="001240D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</w:t>
      </w:r>
      <w:r w:rsidR="000A298B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A298B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="000A298B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298B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A298B" w:rsidRPr="006A31E4" w:rsidRDefault="00383815" w:rsidP="00D94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Отримано інформації від структурних підрозділів 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виконання рішення 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голови від 28.04.2021 № 51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заходи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економного та раціонального використання коштів та недопущення втрат сільського бюджету на 2021 рік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Фінансовим 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проаналізовано інформацію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A298B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зроблено відповідні висновки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надана відповідна інформація Департаменту фінансів Чернігівської облдержадміністрації</w:t>
      </w:r>
      <w:r w:rsidR="000A298B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B1F03" w:rsidRPr="006A31E4" w:rsidRDefault="00383815" w:rsidP="006B1F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Перевірялись та погоджувались висновки </w:t>
      </w:r>
      <w:r w:rsidR="001240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 ДПС у Чернігівській області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платежами, належними місцевому бюджету та платежами, які підлягають розподілу між де</w:t>
      </w:r>
      <w:r w:rsidR="00DB166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ржавним та місцевими бюджетами.</w:t>
      </w:r>
    </w:p>
    <w:p w:rsidR="009754DC" w:rsidRPr="006A31E4" w:rsidRDefault="009754DC" w:rsidP="00D94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місячно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здійснювалось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рознесення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видам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доході</w:t>
      </w:r>
      <w:proofErr w:type="gram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розрізі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платників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оджень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найбільших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платниках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1F03" w:rsidRPr="006A31E4" w:rsidRDefault="006B1F03" w:rsidP="00D94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Здійснювався аналіз потреби у коштах на виплату заробітної плати працівникам бюджетної сфери та потреби у коштах на оплату комунальних послуг та енергоносіїв, що споживаються бюджетними установами.</w:t>
      </w:r>
    </w:p>
    <w:p w:rsidR="00F16E8F" w:rsidRPr="006A31E4" w:rsidRDefault="00383815" w:rsidP="00F16E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затвердженими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бюджетними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призначеннями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46D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наданими головними розпорядниками коштів заявками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здійснювалось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складались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подавались до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ержавної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казначейської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9754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Чернігівському районі</w:t>
      </w:r>
      <w:r w:rsidR="009754DC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03F4" w:rsidRPr="006A31E4" w:rsidRDefault="006226B7" w:rsidP="00F16E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2021 році забезпечено своєчасне та в повному обсязі фінансування </w:t>
      </w:r>
      <w:r w:rsidR="00A81DE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всіх захищених статей видатків, в т.ч. із оплати праці. Кредиторської заборгованості із зазначених виплат станом на 01.01.2022 рік не допущено.</w:t>
      </w:r>
      <w:r w:rsidR="00DA03F4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754DC" w:rsidRPr="006A31E4" w:rsidRDefault="00383815" w:rsidP="003E7F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Підготовлено матеріали для проведення засідання виконкому міської ради та на сесію </w:t>
      </w:r>
      <w:r w:rsidR="009754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(проекти рішень, пояснювальні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записки,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додатки</w:t>
      </w:r>
      <w:r w:rsidR="00F16E8F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рішень) з наступних питань:</w:t>
      </w:r>
      <w:r w:rsidR="00A7451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звіту про виконання </w:t>
      </w:r>
      <w:r w:rsidR="009754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за </w:t>
      </w:r>
      <w:r w:rsidR="009754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І, ІІ, та ІІІ квартали 2021 року;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до рішення </w:t>
      </w:r>
      <w:r w:rsidR="009754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від 24.12.2020 № 2/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r w:rsidR="009754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І-24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</w:t>
      </w:r>
      <w:r w:rsidR="009754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</w:t>
      </w:r>
      <w:r w:rsidR="009754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 на 2021 рік»;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передачу субвенці</w:t>
      </w:r>
      <w:r w:rsidR="009754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 з місцевого бюджету до Державного бюджету на виконання програм соціально-економічного розвитку регіонів щодо запобігання надзвичайних ситуацій, оперативного реагування на них та забезпечення пожежної безпеки на території </w:t>
      </w:r>
      <w:proofErr w:type="spellStart"/>
      <w:r w:rsidR="009754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9754DC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у 2021 році; </w:t>
      </w:r>
      <w:r w:rsidR="00F16E8F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встановлення  місцевих податків і зборів на території </w:t>
      </w:r>
      <w:proofErr w:type="spellStart"/>
      <w:r w:rsidR="00F16E8F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F16E8F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сільської ради на 2022 рік; </w:t>
      </w:r>
      <w:r w:rsidR="003E7F2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прогнозу місцевого бюджету </w:t>
      </w:r>
      <w:proofErr w:type="spellStart"/>
      <w:r w:rsidR="003E7F2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3E7F2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територіальної громади на 2022–2024 роки;</w:t>
      </w:r>
      <w:r w:rsidR="00F16E8F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бюджет</w:t>
      </w:r>
      <w:r w:rsidR="003E7F2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E7F2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3E7F2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територіальної громади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 202</w:t>
      </w:r>
      <w:r w:rsidR="003E7F2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74512" w:rsidRPr="006A31E4" w:rsidRDefault="00383815" w:rsidP="009754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прийнятих рішень міської ради про внесення змін до рішення «</w:t>
      </w:r>
      <w:r w:rsidR="00A7451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сільський бюджет на 2021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та довідок Департаменту фінансів </w:t>
      </w:r>
      <w:r w:rsidR="00A7451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Чернігівської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ОДА вносились зміни до</w:t>
      </w:r>
      <w:r w:rsidR="00A7451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річного та помісячного розпису сільського бюджету у автоматизованій програмі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АІС «Місцеві бюджети», </w:t>
      </w:r>
      <w:r w:rsidR="00A7451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надавались до </w:t>
      </w:r>
      <w:r w:rsidR="00A7451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Державної казначейської служби у Чернігівському районі для виконання і ІАС «</w:t>
      </w:r>
      <w:r w:rsidR="00A74512" w:rsidRPr="006A31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LOGICA</w:t>
      </w:r>
      <w:r w:rsidR="00A7451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8C747A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74512" w:rsidRPr="006A31E4" w:rsidRDefault="00A74512" w:rsidP="00A745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Також в програмі АІС «Місцеві бюджети», «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LOGICA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готувались паспорти бюджетних програм, зміни до них, бюджетні запити, кошториси, плани асигнувань, проводився аналіз фінансування, залишків фінансування, пропозиції на фінансування. </w:t>
      </w:r>
      <w:r w:rsidR="005C69F3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потреби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готувались юридичні та фінансові зоб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ов’язання, платіжні доручення. </w:t>
      </w:r>
    </w:p>
    <w:p w:rsidR="00A74512" w:rsidRPr="006A31E4" w:rsidRDefault="0035606A" w:rsidP="00A745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6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програмах «</w:t>
      </w:r>
      <w:r w:rsidRPr="000F66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Medoc</w:t>
      </w:r>
      <w:r w:rsidR="00383815" w:rsidRPr="000F6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«Податкова звітність», «Є-звітність», «Є-</w:t>
      </w:r>
      <w:proofErr w:type="spellStart"/>
      <w:r w:rsidR="00383815" w:rsidRPr="000F6661">
        <w:rPr>
          <w:rFonts w:ascii="Times New Roman" w:eastAsia="Times New Roman" w:hAnsi="Times New Roman" w:cs="Times New Roman"/>
          <w:sz w:val="28"/>
          <w:szCs w:val="28"/>
          <w:lang w:eastAsia="ru-RU"/>
        </w:rPr>
        <w:t>data</w:t>
      </w:r>
      <w:proofErr w:type="spellEnd"/>
      <w:r w:rsidR="00383815" w:rsidRPr="000F6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«</w:t>
      </w:r>
      <w:r w:rsidR="00383815" w:rsidRPr="000F6661">
        <w:rPr>
          <w:rFonts w:ascii="Times New Roman" w:eastAsia="Times New Roman" w:hAnsi="Times New Roman" w:cs="Times New Roman"/>
          <w:sz w:val="28"/>
          <w:szCs w:val="28"/>
          <w:lang w:eastAsia="ru-RU"/>
        </w:rPr>
        <w:t>DATA</w:t>
      </w:r>
      <w:r w:rsidR="00383815" w:rsidRPr="000F6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3815" w:rsidRPr="000F6661">
        <w:rPr>
          <w:rFonts w:ascii="Times New Roman" w:eastAsia="Times New Roman" w:hAnsi="Times New Roman" w:cs="Times New Roman"/>
          <w:sz w:val="28"/>
          <w:szCs w:val="28"/>
          <w:lang w:eastAsia="ru-RU"/>
        </w:rPr>
        <w:t>GOV</w:t>
      </w:r>
      <w:r w:rsidR="00383815" w:rsidRPr="000F6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3815" w:rsidRPr="000F6661">
        <w:rPr>
          <w:rFonts w:ascii="Times New Roman" w:eastAsia="Times New Roman" w:hAnsi="Times New Roman" w:cs="Times New Roman"/>
          <w:sz w:val="28"/>
          <w:szCs w:val="28"/>
          <w:lang w:eastAsia="ru-RU"/>
        </w:rPr>
        <w:t>UA</w:t>
      </w:r>
      <w:r w:rsidR="00D70C19" w:rsidRPr="000F6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83815" w:rsidRPr="000F6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83815" w:rsidRPr="000F66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83815" w:rsidRPr="000F6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проводилась робота по п</w:t>
      </w:r>
      <w:r w:rsidR="00A74512" w:rsidRPr="000F66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ідготовці та поданню звітності.</w:t>
      </w:r>
    </w:p>
    <w:p w:rsidR="003D0E71" w:rsidRPr="006A31E4" w:rsidRDefault="00383815" w:rsidP="00A745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Забезпечувалось своєчасне та в повному обсязі перерахування інших субвенцій</w:t>
      </w:r>
      <w:r w:rsidR="003D0E71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дотацій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Державного бюджету</w:t>
      </w:r>
      <w:r w:rsidR="003D0E71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обласного бюджету,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районного бюджету </w:t>
      </w:r>
      <w:r w:rsidR="003D0E71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Чернігівського району, Михайло-Коцюбинської та </w:t>
      </w:r>
      <w:proofErr w:type="spellStart"/>
      <w:r w:rsidR="003D0E71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Новобілоуської</w:t>
      </w:r>
      <w:proofErr w:type="spellEnd"/>
      <w:r w:rsidR="003D0E71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</w:t>
      </w:r>
      <w:r w:rsidR="006B1F03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3D0E71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 громад. </w:t>
      </w:r>
    </w:p>
    <w:p w:rsidR="00171566" w:rsidRPr="006A31E4" w:rsidRDefault="00383815" w:rsidP="00A745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Перевірялись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заборгованість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</w:t>
      </w:r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gramStart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1F03" w:rsidRPr="006A31E4" w:rsidRDefault="006B1F03" w:rsidP="00A745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Здійснювався контроль за цільовим та ефективним використання коштів субвенцій з державного бюджету</w:t>
      </w:r>
    </w:p>
    <w:p w:rsidR="00826772" w:rsidRPr="006A31E4" w:rsidRDefault="00383815" w:rsidP="00A745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Щомісячно </w:t>
      </w:r>
      <w:r w:rsidR="00171566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здійснювався контроль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використання</w:t>
      </w:r>
      <w:r w:rsidR="00171566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розпорядниками бюджетних коштів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аналі</w:t>
      </w:r>
      <w:r w:rsidR="0082677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причин невикористання коштів.</w:t>
      </w:r>
    </w:p>
    <w:p w:rsidR="008C747A" w:rsidRPr="006A31E4" w:rsidRDefault="00826772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Щомісячно здійснювався контроль за розподілом вільних </w:t>
      </w:r>
      <w:r w:rsidR="008C747A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залишків коштів, що склалися на 01.01.2021 та надавалася інформація із зазначеного питання Департаменту фінансів Чернігівської облдержадміністрації та в ІАС «</w:t>
      </w:r>
      <w:r w:rsidR="008C747A" w:rsidRPr="006A31E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LOGICA</w:t>
      </w:r>
      <w:r w:rsidR="008C747A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383815" w:rsidRPr="006A31E4" w:rsidRDefault="00383815" w:rsidP="00A745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надавались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консультації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головним</w:t>
      </w:r>
      <w:proofErr w:type="spellEnd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розпорядникам</w:t>
      </w:r>
      <w:proofErr w:type="spellEnd"/>
      <w:r w:rsidR="00171566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566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ефективного та цільового використання бюджетних коштів, </w:t>
      </w:r>
      <w:proofErr w:type="gramStart"/>
      <w:r w:rsidR="00171566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правильного</w:t>
      </w:r>
      <w:proofErr w:type="gramEnd"/>
      <w:r w:rsidR="00171566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планування видатків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7A13" w:rsidRPr="006A31E4" w:rsidRDefault="00337A13" w:rsidP="00337A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Розроблена та доведена до головних розпорядників бюджетних коштів інструкція з підготовки бюджетних запитів.</w:t>
      </w:r>
    </w:p>
    <w:p w:rsidR="00337A13" w:rsidRPr="006A31E4" w:rsidRDefault="00184E32" w:rsidP="00184E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Проведено формування даних по місцевих податках та зборах, прогнозування обсягів доходів місцевого бюджету на 2022 рік та доведення до головних розпорядників коштів </w:t>
      </w:r>
      <w:r w:rsidR="00337A13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граничних показників видатків місцевого бюджету та надан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кредитів з місцевого бюджету та</w:t>
      </w:r>
      <w:r w:rsidR="00337A13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інструктивного листа щодо організаційних та інших вимог, яких зобов’язані дотримуватися всі розпорядники бюджетних коштів  </w:t>
      </w:r>
    </w:p>
    <w:p w:rsidR="00337A13" w:rsidRPr="006A31E4" w:rsidRDefault="00337A13" w:rsidP="00337A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Здійснення аналізу бюджетних запитів, отриманих від головних розпорядників бюджетних коштів, та прийняття рішення щодо включення їх до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</w:t>
      </w:r>
      <w:proofErr w:type="spellStart"/>
      <w:r w:rsidR="00184E3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184E3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територіальної громади</w:t>
      </w:r>
      <w:r w:rsidR="00184E3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37A13" w:rsidRPr="006A31E4" w:rsidRDefault="00337A13" w:rsidP="00337A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Підготовка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місцевої ради про місцевий бюджет з додатками згідно з типовою формою, затвердженою відповідним наказом Мінфіну, і матеріалів, передбачених статтею 76 Бюджетного кодексу України, подання виконавчому </w:t>
      </w:r>
      <w:r w:rsidR="00184E3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84E32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184E32" w:rsidRPr="006A31E4" w:rsidRDefault="00184E32" w:rsidP="00184E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Формування рішення бюджету на 2022 рік з додатками  в системі ІАС «Місцеві бюджети» та системі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Logica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71566" w:rsidRPr="006A31E4" w:rsidRDefault="00184E32" w:rsidP="00184E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Підготовка до закінчення бюджетного року , супровід та інформаційна допомога головним розпорядкам коштів щодо завершення фінансових операцій в кінці бюджетного року.</w:t>
      </w:r>
    </w:p>
    <w:p w:rsidR="00184E32" w:rsidRPr="006A31E4" w:rsidRDefault="00184E32" w:rsidP="00184E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3815" w:rsidRPr="006A31E4" w:rsidRDefault="00383815" w:rsidP="008C747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Основні</w:t>
      </w:r>
      <w:proofErr w:type="spellEnd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показники</w:t>
      </w:r>
      <w:proofErr w:type="spellEnd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поточної</w:t>
      </w:r>
      <w:proofErr w:type="spellEnd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роботи</w:t>
      </w:r>
      <w:proofErr w:type="spellEnd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фінансового</w:t>
      </w:r>
      <w:proofErr w:type="spellEnd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управління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C747A"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у 20</w:t>
      </w:r>
      <w:r w:rsidR="008C747A"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21</w:t>
      </w:r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році</w:t>
      </w:r>
      <w:proofErr w:type="spellEnd"/>
    </w:p>
    <w:p w:rsidR="009D6306" w:rsidRPr="006A31E4" w:rsidRDefault="009D6306" w:rsidP="009D63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доведено до </w:t>
      </w:r>
      <w:proofErr w:type="spellStart"/>
      <w:r w:rsidR="00902B5E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головних</w:t>
      </w:r>
      <w:proofErr w:type="spellEnd"/>
      <w:r w:rsidR="00902B5E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02B5E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розпорядників</w:t>
      </w:r>
      <w:proofErr w:type="spellEnd"/>
      <w:r w:rsidR="00902B5E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02B5E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902B5E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B5E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902B5E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02B5E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лімітн</w:t>
      </w:r>
      <w:r w:rsidR="00902B5E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</w:t>
      </w:r>
      <w:proofErr w:type="spellEnd"/>
      <w:r w:rsidR="00902B5E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02B5E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асигнування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кредитування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</w:t>
      </w:r>
      <w:proofErr w:type="spellStart"/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</w:p>
    <w:p w:rsidR="0000105D" w:rsidRPr="006A31E4" w:rsidRDefault="0000105D" w:rsidP="009D63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Доведено до головних розпорядників коштів 3 витяги із розпису бюджету на 2021 рік.</w:t>
      </w:r>
    </w:p>
    <w:p w:rsidR="00276331" w:rsidRPr="006A31E4" w:rsidRDefault="001D6310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разів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вносилися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уточненню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бюджету, на 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76331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иписано</w:t>
      </w:r>
      <w:proofErr w:type="spellEnd"/>
      <w:r w:rsidR="00276331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76331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69</w:t>
      </w:r>
      <w:r w:rsidR="00276331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331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довідок</w:t>
      </w:r>
      <w:proofErr w:type="spellEnd"/>
      <w:r w:rsidR="00276331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276331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="00276331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331" w:rsidRPr="006A31E4" w:rsidRDefault="00383815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ідготовлено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331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312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розпоряджень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виділення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276331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76331" w:rsidRPr="00AF1E7F" w:rsidRDefault="00383815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ідготовлено</w:t>
      </w:r>
      <w:proofErr w:type="spellEnd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AC5" w:rsidRPr="00AF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167</w:t>
      </w:r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платіжних</w:t>
      </w:r>
      <w:proofErr w:type="spellEnd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доручень</w:t>
      </w:r>
      <w:proofErr w:type="spellEnd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перерахуванню</w:t>
      </w:r>
      <w:proofErr w:type="spellEnd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276331"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6310" w:rsidRDefault="00383815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1D6310" w:rsidRPr="00AF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47</w:t>
      </w:r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експертиз</w:t>
      </w:r>
      <w:proofErr w:type="spellEnd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</w:t>
      </w:r>
      <w:proofErr w:type="gramStart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AF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них</w:t>
      </w:r>
      <w:r w:rsidR="001D6310" w:rsidRPr="00AF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25AA4" w:rsidRPr="006A31E4" w:rsidRDefault="00383815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Перевірено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E80A83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зважаючи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</w:t>
      </w:r>
      <w:r w:rsidR="00C25AA4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25AA4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сформований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ст. 20 </w:t>
      </w:r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</w:t>
      </w:r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програмно-цільовим</w:t>
      </w:r>
      <w:proofErr w:type="spell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методом.</w:t>
      </w:r>
    </w:p>
    <w:p w:rsidR="00C25AA4" w:rsidRPr="006A31E4" w:rsidRDefault="00383815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C25AA4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 на 202</w:t>
      </w:r>
      <w:r w:rsidR="00C25AA4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опрацьовано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A83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програмно-цільовим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головними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розпорядниками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проведена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відповідна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робота по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включенню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проекту бюджету </w:t>
      </w:r>
      <w:proofErr w:type="spell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Киселівської</w:t>
      </w:r>
      <w:proofErr w:type="spell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територіальної громади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5AA4" w:rsidRPr="006A31E4" w:rsidRDefault="00383815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Сформовано зведення планових та звітних показників по мережі, штатах та</w:t>
      </w:r>
      <w:r w:rsidR="00C25AA4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контингентах місцевого бюджету та </w:t>
      </w:r>
      <w:proofErr w:type="spell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нідісланий</w:t>
      </w:r>
      <w:proofErr w:type="spell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Департаменту фінансів Чернігівської облдержадміністрації для подальшого інформування Міністерства фінансів України.</w:t>
      </w:r>
    </w:p>
    <w:p w:rsidR="00C25AA4" w:rsidRPr="006A31E4" w:rsidRDefault="00383815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щоденний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</w:t>
      </w:r>
      <w:r w:rsidR="00A374E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нь</w:t>
      </w:r>
      <w:proofErr w:type="spellEnd"/>
      <w:r w:rsidR="00A374E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A374E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розрізі</w:t>
      </w:r>
      <w:proofErr w:type="spellEnd"/>
      <w:r w:rsidR="00A374E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74E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</w:t>
      </w:r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="00A374E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доході</w:t>
      </w:r>
      <w:proofErr w:type="gram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5AA4" w:rsidRDefault="00383815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Щомісячно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надходжень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бюджету </w:t>
      </w:r>
      <w:r w:rsidR="00C25AA4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порівнянні</w:t>
      </w:r>
      <w:proofErr w:type="spell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минулим</w:t>
      </w:r>
      <w:proofErr w:type="spell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періодом</w:t>
      </w:r>
      <w:proofErr w:type="spellEnd"/>
      <w:r w:rsidR="00C25AA4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1E7F" w:rsidRPr="00AF1E7F" w:rsidRDefault="00AF1E7F" w:rsidP="00AF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AF1E7F">
        <w:rPr>
          <w:rFonts w:ascii="Times New Roman" w:hAnsi="Times New Roman" w:cs="Times New Roman"/>
          <w:sz w:val="26"/>
          <w:szCs w:val="26"/>
          <w:lang w:val="uk-UA"/>
        </w:rPr>
        <w:t>Протягом року до фін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відділу </w:t>
      </w:r>
      <w:r w:rsidRPr="00AF1E7F">
        <w:rPr>
          <w:rFonts w:ascii="Times New Roman" w:hAnsi="Times New Roman" w:cs="Times New Roman"/>
          <w:sz w:val="26"/>
          <w:szCs w:val="26"/>
          <w:lang w:val="uk-UA"/>
        </w:rPr>
        <w:t xml:space="preserve">надійшло для опрацювання </w:t>
      </w:r>
      <w:r>
        <w:rPr>
          <w:rFonts w:ascii="Times New Roman" w:hAnsi="Times New Roman" w:cs="Times New Roman"/>
          <w:sz w:val="26"/>
          <w:szCs w:val="26"/>
          <w:lang w:val="uk-UA"/>
        </w:rPr>
        <w:t>220</w:t>
      </w:r>
      <w:r w:rsidRPr="00AF1E7F">
        <w:rPr>
          <w:rFonts w:ascii="Times New Roman" w:hAnsi="Times New Roman" w:cs="Times New Roman"/>
          <w:sz w:val="26"/>
          <w:szCs w:val="26"/>
          <w:lang w:val="uk-UA"/>
        </w:rPr>
        <w:t xml:space="preserve"> листів.</w:t>
      </w:r>
    </w:p>
    <w:p w:rsidR="009A0254" w:rsidRPr="006A31E4" w:rsidRDefault="00C25AA4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2021</w:t>
      </w:r>
      <w:r w:rsidR="00383815"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підготовлено та направлено до Департаменту фінансів </w:t>
      </w:r>
      <w:r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Чернігівської</w:t>
      </w:r>
      <w:r w:rsidR="009A0254"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облдержадміністрації</w:t>
      </w:r>
      <w:r w:rsidR="00383815" w:rsidRPr="001D63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6310"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3815"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інших установ</w:t>
      </w:r>
      <w:r w:rsidR="00383815" w:rsidRPr="001D6310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383815"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інформацій</w:t>
      </w:r>
      <w:r w:rsidR="00383815" w:rsidRPr="001D63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83815"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доходах </w:t>
      </w:r>
      <w:r w:rsidR="009A0254"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сільського бюджету в кількості </w:t>
      </w:r>
      <w:r w:rsidR="001D6310"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9A0254"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51248" w:rsidRPr="006A31E4" w:rsidRDefault="00383815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ідготовлено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направлено  до Департаменту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="001D6310" w:rsidRPr="001D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Чернігівської облдержадміністрації</w:t>
      </w:r>
      <w:r w:rsidR="0035124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A0254" w:rsidRPr="006A31E4" w:rsidRDefault="00351248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3B8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виплати заробітної плати працівникам бюджетної сфери громади;</w:t>
      </w:r>
    </w:p>
    <w:p w:rsidR="00A743B8" w:rsidRPr="006A31E4" w:rsidRDefault="00A743B8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- 68 інформацій про стан розрахунків бюджетних установ громади за спожиті енергоносії та комунальні послуги;</w:t>
      </w:r>
    </w:p>
    <w:p w:rsidR="00A743B8" w:rsidRPr="006A31E4" w:rsidRDefault="00A743B8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- 12 інформацій щодо використання коштів бюджету розвитку;</w:t>
      </w:r>
    </w:p>
    <w:p w:rsidR="00A743B8" w:rsidRPr="006A31E4" w:rsidRDefault="00A743B8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- 12 інформацій щодо стану розподілу вільних залишків коштів місцевих бюджетів по загальному фонду</w:t>
      </w:r>
      <w:r w:rsidR="00C95AA0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спрямування коштів від перевиконання доходної частини бюджету;</w:t>
      </w:r>
    </w:p>
    <w:p w:rsidR="00C95AA0" w:rsidRPr="006A31E4" w:rsidRDefault="00C95AA0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- 21 інформація про використання коштів субвенцій з державного бюджету та обласного бюджету;</w:t>
      </w:r>
    </w:p>
    <w:p w:rsidR="00C95AA0" w:rsidRPr="006A31E4" w:rsidRDefault="00C95AA0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 інформації</w:t>
      </w:r>
      <w:r w:rsidR="0046449B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проведеної роботи з реалізації заходів щодо наповнення місцевих бюджетів, вишукання додаткових джерел надходжень до бюджетів, дотримання жорсткого режиму економії бюджетних коштів та посилення фінансово-бюджетної дисципліни;</w:t>
      </w:r>
    </w:p>
    <w:p w:rsidR="0046449B" w:rsidRPr="006A31E4" w:rsidRDefault="0046449B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- 12 інформацій щодо оздоровлення та відпочинку дітей;</w:t>
      </w:r>
    </w:p>
    <w:p w:rsidR="0046449B" w:rsidRDefault="0046449B" w:rsidP="00A374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- 53 інформації щодо</w:t>
      </w:r>
      <w:r w:rsidRPr="006A31E4">
        <w:rPr>
          <w:lang w:val="uk-UA"/>
        </w:rPr>
        <w:t xml:space="preserve">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фінансування з місцевих бюджетів протиепідемічних заходів з метою запобігання поширенню на території області гострої респіраторної хвороби COVID-19, спричиненої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коронавірусом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SARS-CoV-2 тощо.</w:t>
      </w:r>
    </w:p>
    <w:p w:rsidR="00AF1E7F" w:rsidRPr="00AF1E7F" w:rsidRDefault="00AF1E7F" w:rsidP="00AF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AF1E7F">
        <w:rPr>
          <w:rFonts w:ascii="Times New Roman" w:hAnsi="Times New Roman" w:cs="Times New Roman"/>
          <w:sz w:val="26"/>
          <w:szCs w:val="26"/>
          <w:lang w:val="uk-UA"/>
        </w:rPr>
        <w:t>- управлінню державної казначейської служби -2</w:t>
      </w:r>
      <w:r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AF1E7F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AF1E7F" w:rsidRPr="00AF1E7F" w:rsidRDefault="00AF1E7F" w:rsidP="00AF1E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1E7F">
        <w:rPr>
          <w:rFonts w:ascii="Times New Roman" w:hAnsi="Times New Roman" w:cs="Times New Roman"/>
          <w:sz w:val="26"/>
          <w:szCs w:val="26"/>
          <w:lang w:val="uk-UA"/>
        </w:rPr>
        <w:t>- іншим установам і організаціям –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78</w:t>
      </w:r>
      <w:r w:rsidRPr="00AF1E7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A0254" w:rsidRPr="006A31E4" w:rsidRDefault="00383815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Підготовлено та направлено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74E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113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листів </w:t>
      </w:r>
      <w:r w:rsidR="00A374E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організація, установам  та підприємствам та фізичним особам-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підприємцям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74E5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 питань, що відносяться до компетенції відділу.</w:t>
      </w:r>
    </w:p>
    <w:p w:rsidR="009A0254" w:rsidRPr="006A31E4" w:rsidRDefault="00E448E0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Зареєстровано</w:t>
      </w:r>
      <w:proofErr w:type="spellEnd"/>
      <w:r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погоджено</w:t>
      </w:r>
      <w:proofErr w:type="spellEnd"/>
      <w:r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48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126</w:t>
      </w:r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висновків</w:t>
      </w:r>
      <w:proofErr w:type="spellEnd"/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ДПС у </w:t>
      </w:r>
      <w:r w:rsidR="009A0254" w:rsidRPr="00E448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Чернігівській</w:t>
      </w:r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повернення</w:t>
      </w:r>
      <w:proofErr w:type="spellEnd"/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помилково</w:t>
      </w:r>
      <w:proofErr w:type="spellEnd"/>
      <w:r w:rsidR="00383815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0254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9A0254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0254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невірно</w:t>
      </w:r>
      <w:proofErr w:type="spellEnd"/>
      <w:r w:rsidR="009A0254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0254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зарахованих</w:t>
      </w:r>
      <w:proofErr w:type="spellEnd"/>
      <w:r w:rsidR="009A0254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0254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</w:t>
      </w:r>
      <w:proofErr w:type="gramStart"/>
      <w:r w:rsidR="009A0254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9A0254" w:rsidRPr="00E448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5262" w:rsidRDefault="00425262" w:rsidP="008C74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1E7F" w:rsidRDefault="00AF1E7F" w:rsidP="00AF1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F1E7F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Доступ до публічної інформації</w:t>
      </w:r>
    </w:p>
    <w:p w:rsidR="00AF1E7F" w:rsidRPr="00AF1E7F" w:rsidRDefault="00AF1E7F" w:rsidP="00AF1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F1E7F" w:rsidRPr="00AF1E7F" w:rsidRDefault="00AF1E7F" w:rsidP="00AF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1E7F">
        <w:rPr>
          <w:rFonts w:ascii="Times New Roman" w:hAnsi="Times New Roman" w:cs="Times New Roman"/>
          <w:sz w:val="28"/>
          <w:szCs w:val="28"/>
          <w:lang w:val="uk-UA"/>
        </w:rPr>
        <w:t>Проекти нормативно-правових актів, розробником яких є фін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AF1E7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F1E7F" w:rsidRPr="00AF1E7F" w:rsidRDefault="00AF1E7F" w:rsidP="00AF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1E7F">
        <w:rPr>
          <w:rFonts w:ascii="Times New Roman" w:hAnsi="Times New Roman" w:cs="Times New Roman"/>
          <w:sz w:val="28"/>
          <w:szCs w:val="28"/>
          <w:lang w:val="uk-UA"/>
        </w:rPr>
        <w:t>оприлюднювались згідно з вимогами Закону України «Про доступ до публічної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1E7F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інформації» на офіційному </w:t>
      </w:r>
      <w:proofErr w:type="spellStart"/>
      <w:r w:rsidRPr="00AF1E7F"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 w:rsidRPr="00AF1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AF1E7F">
        <w:rPr>
          <w:rFonts w:ascii="Times New Roman" w:hAnsi="Times New Roman" w:cs="Times New Roman"/>
          <w:sz w:val="28"/>
          <w:szCs w:val="28"/>
          <w:lang w:val="uk-UA"/>
        </w:rPr>
        <w:t xml:space="preserve"> ради.</w:t>
      </w:r>
    </w:p>
    <w:p w:rsidR="00AF1E7F" w:rsidRPr="00AF1E7F" w:rsidRDefault="00AF1E7F" w:rsidP="00AF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1E7F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відкритість використання публічних</w:t>
      </w:r>
      <w:r w:rsidR="00E44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1E7F">
        <w:rPr>
          <w:rFonts w:ascii="Times New Roman" w:hAnsi="Times New Roman" w:cs="Times New Roman"/>
          <w:sz w:val="28"/>
          <w:szCs w:val="28"/>
          <w:lang w:val="uk-UA"/>
        </w:rPr>
        <w:t>коштів» оприлюднені набори даних, що оприлюднюються у формі відкритих даних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1E7F">
        <w:rPr>
          <w:rFonts w:ascii="Times New Roman" w:hAnsi="Times New Roman" w:cs="Times New Roman"/>
          <w:sz w:val="28"/>
          <w:szCs w:val="28"/>
          <w:lang w:val="uk-UA"/>
        </w:rPr>
        <w:t xml:space="preserve">єдиному </w:t>
      </w:r>
      <w:proofErr w:type="spellStart"/>
      <w:r w:rsidRPr="00AF1E7F">
        <w:rPr>
          <w:rFonts w:ascii="Times New Roman" w:hAnsi="Times New Roman" w:cs="Times New Roman"/>
          <w:sz w:val="28"/>
          <w:szCs w:val="28"/>
          <w:lang w:val="uk-UA"/>
        </w:rPr>
        <w:t>веб-порталі</w:t>
      </w:r>
      <w:proofErr w:type="spellEnd"/>
      <w:r w:rsidRPr="00AF1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1E7F">
        <w:rPr>
          <w:rFonts w:ascii="Times New Roman" w:hAnsi="Times New Roman" w:cs="Times New Roman"/>
          <w:i/>
          <w:iCs/>
          <w:sz w:val="28"/>
          <w:szCs w:val="28"/>
          <w:lang w:val="uk-UA"/>
        </w:rPr>
        <w:t>data.gov.ua</w:t>
      </w:r>
      <w:proofErr w:type="spellEnd"/>
      <w:r w:rsidRPr="00AF1E7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F1E7F">
        <w:rPr>
          <w:rFonts w:ascii="Times New Roman" w:hAnsi="Times New Roman" w:cs="Times New Roman"/>
          <w:sz w:val="28"/>
          <w:szCs w:val="28"/>
          <w:lang w:val="uk-UA"/>
        </w:rPr>
        <w:t xml:space="preserve">та офіційному сайті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AF1E7F">
        <w:rPr>
          <w:rFonts w:ascii="Times New Roman" w:hAnsi="Times New Roman" w:cs="Times New Roman"/>
          <w:sz w:val="28"/>
          <w:szCs w:val="28"/>
          <w:lang w:val="uk-UA"/>
        </w:rPr>
        <w:t xml:space="preserve"> ради.</w:t>
      </w:r>
    </w:p>
    <w:p w:rsidR="00AF1E7F" w:rsidRPr="00AF1E7F" w:rsidRDefault="00AF1E7F" w:rsidP="00AF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1E7F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доступ до публічної інформації»</w:t>
      </w:r>
    </w:p>
    <w:p w:rsidR="00AF1E7F" w:rsidRDefault="00AF1E7F" w:rsidP="00AF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1E7F">
        <w:rPr>
          <w:rFonts w:ascii="Times New Roman" w:hAnsi="Times New Roman" w:cs="Times New Roman"/>
          <w:sz w:val="28"/>
          <w:szCs w:val="28"/>
          <w:lang w:val="uk-UA"/>
        </w:rPr>
        <w:t xml:space="preserve">оприлюднюється інформація про використання публічних коштів на єдиному </w:t>
      </w:r>
      <w:proofErr w:type="spellStart"/>
      <w:r w:rsidRPr="00AF1E7F">
        <w:rPr>
          <w:rFonts w:ascii="Times New Roman" w:hAnsi="Times New Roman" w:cs="Times New Roman"/>
          <w:sz w:val="28"/>
          <w:szCs w:val="28"/>
          <w:lang w:val="uk-UA"/>
        </w:rPr>
        <w:t>веб-порталі</w:t>
      </w:r>
      <w:proofErr w:type="spellEnd"/>
      <w:r w:rsidRPr="00AF1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1E7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Е </w:t>
      </w:r>
      <w:proofErr w:type="spellStart"/>
      <w:r w:rsidRPr="00AF1E7F">
        <w:rPr>
          <w:rFonts w:ascii="Times New Roman" w:hAnsi="Times New Roman" w:cs="Times New Roman"/>
          <w:i/>
          <w:iCs/>
          <w:sz w:val="28"/>
          <w:szCs w:val="28"/>
          <w:lang w:val="uk-UA"/>
        </w:rPr>
        <w:t>–дата</w:t>
      </w:r>
      <w:proofErr w:type="spellEnd"/>
      <w:r w:rsidRPr="00AF1E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56C8" w:rsidRPr="006339CA" w:rsidRDefault="001256C8" w:rsidP="001256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Prozor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  <w:lang w:val="uk-UA"/>
        </w:rPr>
        <w:t xml:space="preserve">o внесено зміни до річного плану закупівель, проведено закупівлю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оприлюднено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звіт про договір про закупівлю.</w:t>
      </w:r>
    </w:p>
    <w:p w:rsidR="00383815" w:rsidRPr="006A31E4" w:rsidRDefault="00184E32" w:rsidP="00AF1E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Основні</w:t>
      </w:r>
      <w:proofErr w:type="spellEnd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позитиви</w:t>
      </w:r>
      <w:proofErr w:type="spellEnd"/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21</w:t>
      </w:r>
      <w:r w:rsidR="00383815" w:rsidRPr="006A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року</w:t>
      </w:r>
    </w:p>
    <w:p w:rsidR="00383815" w:rsidRPr="006A31E4" w:rsidRDefault="00383815" w:rsidP="00184E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Перевиконання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уточненого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по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надходженням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зборі</w:t>
      </w:r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склало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6,6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грн. (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9,8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%) в т.ч.:</w:t>
      </w:r>
    </w:p>
    <w:p w:rsidR="00383815" w:rsidRPr="006A31E4" w:rsidRDefault="00E03489" w:rsidP="004664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ПДФО –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5,0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грн.</w:t>
      </w:r>
    </w:p>
    <w:p w:rsidR="00383815" w:rsidRPr="006A31E4" w:rsidRDefault="00E03489" w:rsidP="004664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 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0,4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грн.</w:t>
      </w:r>
    </w:p>
    <w:p w:rsidR="00383815" w:rsidRPr="006A31E4" w:rsidRDefault="00383815" w:rsidP="004664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зний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податок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0,2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грн.</w:t>
      </w:r>
    </w:p>
    <w:p w:rsidR="00383815" w:rsidRPr="006A31E4" w:rsidRDefault="00E03489" w:rsidP="004664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83815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,0 млн. грн.</w:t>
      </w:r>
    </w:p>
    <w:p w:rsidR="00C24DCD" w:rsidRDefault="00383815" w:rsidP="00E448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      За результатами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Киселівського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сільського голови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заходи 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економного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раціонального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недопущення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2021 </w:t>
      </w:r>
      <w:proofErr w:type="spellStart"/>
      <w:proofErr w:type="gramStart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="00E03489"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» у 20</w:t>
      </w:r>
      <w:r w:rsidR="00E03489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здійснювався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повноти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систематичності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своєчасності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напрямках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видатків</w:t>
      </w:r>
      <w:proofErr w:type="spellEnd"/>
      <w:r w:rsidRPr="006A31E4">
        <w:rPr>
          <w:rFonts w:ascii="Georgia" w:eastAsia="Times New Roman" w:hAnsi="Georgia" w:cs="Times New Roman"/>
          <w:sz w:val="18"/>
          <w:szCs w:val="1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зекономлено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кінці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виплату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у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видатках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енергоносії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зросли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proofErr w:type="gram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вкрай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повноцінного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функціонування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AA7" w:rsidRPr="006A31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6A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6661" w:rsidRDefault="000F6661" w:rsidP="00E448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F6661" w:rsidRPr="000F6661" w:rsidRDefault="000F6661" w:rsidP="00E448E0">
      <w:pPr>
        <w:shd w:val="clear" w:color="auto" w:fill="FFFFFF"/>
        <w:spacing w:after="150" w:line="240" w:lineRule="auto"/>
        <w:jc w:val="both"/>
        <w:rPr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Начальник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фінансового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</w:t>
      </w:r>
      <w:r w:rsidR="00A40A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Людмила </w:t>
      </w:r>
      <w:proofErr w:type="spellStart"/>
      <w:r w:rsidR="00A40A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Бакеєва</w:t>
      </w:r>
      <w:proofErr w:type="spellEnd"/>
    </w:p>
    <w:sectPr w:rsidR="000F6661" w:rsidRPr="000F6661" w:rsidSect="00D26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11E6F"/>
    <w:multiLevelType w:val="multilevel"/>
    <w:tmpl w:val="A3267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83815"/>
    <w:rsid w:val="0000105D"/>
    <w:rsid w:val="000A298B"/>
    <w:rsid w:val="000C1481"/>
    <w:rsid w:val="000F6661"/>
    <w:rsid w:val="001240DC"/>
    <w:rsid w:val="001256C8"/>
    <w:rsid w:val="001647E1"/>
    <w:rsid w:val="00171566"/>
    <w:rsid w:val="00184E32"/>
    <w:rsid w:val="001D6310"/>
    <w:rsid w:val="00253610"/>
    <w:rsid w:val="00276331"/>
    <w:rsid w:val="002C54B1"/>
    <w:rsid w:val="00337A13"/>
    <w:rsid w:val="00351248"/>
    <w:rsid w:val="0035606A"/>
    <w:rsid w:val="003815A6"/>
    <w:rsid w:val="00383815"/>
    <w:rsid w:val="003D0E71"/>
    <w:rsid w:val="003E7F28"/>
    <w:rsid w:val="00425262"/>
    <w:rsid w:val="0046449B"/>
    <w:rsid w:val="004664B6"/>
    <w:rsid w:val="005C69F3"/>
    <w:rsid w:val="00615AE8"/>
    <w:rsid w:val="006226B7"/>
    <w:rsid w:val="006A31E4"/>
    <w:rsid w:val="006B1F03"/>
    <w:rsid w:val="0072496C"/>
    <w:rsid w:val="008108CF"/>
    <w:rsid w:val="00826772"/>
    <w:rsid w:val="00880473"/>
    <w:rsid w:val="008B5AC5"/>
    <w:rsid w:val="008C747A"/>
    <w:rsid w:val="008E3AA7"/>
    <w:rsid w:val="00902B5E"/>
    <w:rsid w:val="00936655"/>
    <w:rsid w:val="009678C9"/>
    <w:rsid w:val="009754DC"/>
    <w:rsid w:val="0097646D"/>
    <w:rsid w:val="009A0254"/>
    <w:rsid w:val="009D6306"/>
    <w:rsid w:val="00A374E5"/>
    <w:rsid w:val="00A40A11"/>
    <w:rsid w:val="00A743B8"/>
    <w:rsid w:val="00A74512"/>
    <w:rsid w:val="00A81DE9"/>
    <w:rsid w:val="00AF1E7F"/>
    <w:rsid w:val="00C24DCD"/>
    <w:rsid w:val="00C25AA4"/>
    <w:rsid w:val="00C95AA0"/>
    <w:rsid w:val="00C95B7D"/>
    <w:rsid w:val="00D26290"/>
    <w:rsid w:val="00D70C19"/>
    <w:rsid w:val="00D9463B"/>
    <w:rsid w:val="00DA03F4"/>
    <w:rsid w:val="00DB1669"/>
    <w:rsid w:val="00DF099A"/>
    <w:rsid w:val="00E03489"/>
    <w:rsid w:val="00E1682C"/>
    <w:rsid w:val="00E448E0"/>
    <w:rsid w:val="00E77A15"/>
    <w:rsid w:val="00E80A83"/>
    <w:rsid w:val="00EA27E1"/>
    <w:rsid w:val="00F16E8F"/>
    <w:rsid w:val="00F6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290"/>
  </w:style>
  <w:style w:type="paragraph" w:styleId="1">
    <w:name w:val="heading 1"/>
    <w:basedOn w:val="a"/>
    <w:next w:val="a"/>
    <w:link w:val="10"/>
    <w:uiPriority w:val="99"/>
    <w:qFormat/>
    <w:rsid w:val="00D70C19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70C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2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ody Text"/>
    <w:basedOn w:val="a"/>
    <w:link w:val="a5"/>
    <w:uiPriority w:val="99"/>
    <w:unhideWhenUsed/>
    <w:rsid w:val="00F16E8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F16E8F"/>
  </w:style>
  <w:style w:type="character" w:customStyle="1" w:styleId="10">
    <w:name w:val="Заголовок 1 Знак"/>
    <w:basedOn w:val="a0"/>
    <w:link w:val="1"/>
    <w:uiPriority w:val="99"/>
    <w:rsid w:val="00D70C19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70C19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6">
    <w:name w:val="caption"/>
    <w:basedOn w:val="a"/>
    <w:next w:val="a"/>
    <w:uiPriority w:val="99"/>
    <w:qFormat/>
    <w:rsid w:val="00D70C1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2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ody Text"/>
    <w:basedOn w:val="a"/>
    <w:link w:val="a5"/>
    <w:uiPriority w:val="99"/>
    <w:unhideWhenUsed/>
    <w:rsid w:val="00F16E8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F16E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073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366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430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8</Pages>
  <Words>11569</Words>
  <Characters>6595</Characters>
  <Application>Microsoft Office Word</Application>
  <DocSecurity>0</DocSecurity>
  <Lines>54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ФІНАНСОВИЙ ВІДДІЛ КИСЕЛІВСЬКОЇ СІЛЬСЬКОЇ РАДИ</vt:lpstr>
      <vt:lpstr>    ЧЕРНІГІВСЬКОГО РАЙОНУ ЧЕРНІГІВСЬКОЇ ОБЛАСТІ</vt:lpstr>
    </vt:vector>
  </TitlesOfParts>
  <Company>Krokoz™</Company>
  <LinksUpToDate>false</LinksUpToDate>
  <CharactersWithSpaces>18128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Bux_fv</dc:creator>
  <cp:lastModifiedBy>User</cp:lastModifiedBy>
  <cp:revision>33</cp:revision>
  <dcterms:created xsi:type="dcterms:W3CDTF">2022-01-20T14:26:00Z</dcterms:created>
  <dcterms:modified xsi:type="dcterms:W3CDTF">2022-01-26T14:30:00Z</dcterms:modified>
</cp:coreProperties>
</file>