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596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AC66A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AC66A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C66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23DEF">
              <w:rPr>
                <w:rFonts w:cs="Times New Roman"/>
                <w:sz w:val="26"/>
                <w:szCs w:val="26"/>
                <w:lang w:val="uk-UA"/>
              </w:rPr>
              <w:t>Ще-</w:t>
            </w:r>
          </w:p>
          <w:p w:rsidR="00A00EC7" w:rsidRPr="00291D52" w:rsidRDefault="00F23DEF" w:rsidP="00F23DE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рбаню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Миколі Віталійовичу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23DEF">
        <w:rPr>
          <w:rFonts w:cs="Times New Roman"/>
          <w:spacing w:val="-1"/>
          <w:sz w:val="26"/>
          <w:szCs w:val="26"/>
          <w:lang w:val="uk-UA"/>
        </w:rPr>
        <w:t>Щербаня Миколи Віталійовича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23DEF">
        <w:rPr>
          <w:rFonts w:cs="Times New Roman"/>
          <w:spacing w:val="-1"/>
          <w:sz w:val="26"/>
          <w:szCs w:val="26"/>
          <w:lang w:val="uk-UA"/>
        </w:rPr>
        <w:t>Щербаню Миколі Віталійовичу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23DEF">
        <w:rPr>
          <w:rFonts w:cs="Times New Roman"/>
          <w:spacing w:val="-1"/>
          <w:sz w:val="26"/>
          <w:szCs w:val="26"/>
          <w:lang w:val="uk-UA"/>
        </w:rPr>
        <w:t>0,14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5545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C66AC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23DEF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EC5F38A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F83AB-7927-4FDF-AE0D-7D0E6D41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2021-10-11T13:46:00Z</cp:lastPrinted>
  <dcterms:created xsi:type="dcterms:W3CDTF">2021-08-09T22:37:00Z</dcterms:created>
  <dcterms:modified xsi:type="dcterms:W3CDTF">2021-10-11T13:46:00Z</dcterms:modified>
</cp:coreProperties>
</file>