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7ABE" w:rsidRPr="00367ABE" w:rsidRDefault="00367ABE" w:rsidP="00367ABE">
      <w:pPr>
        <w:jc w:val="both"/>
        <w:rPr>
          <w:rFonts w:ascii="Times New Roman" w:hAnsi="Times New Roman" w:cs="Times New Roman"/>
          <w:lang w:val="en-US"/>
        </w:rPr>
      </w:pPr>
      <w:r w:rsidRPr="007A1CE4">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67ABE" w:rsidRDefault="00367ABE" w:rsidP="00367ABE">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367ABE" w:rsidRDefault="00367ABE" w:rsidP="00367ABE">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67ABE" w:rsidRDefault="00367ABE" w:rsidP="00367ABE">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367ABE" w:rsidRDefault="00367ABE" w:rsidP="00367ABE">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67ABE" w:rsidRDefault="00367ABE" w:rsidP="00367ABE">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367ABE" w:rsidRDefault="00367ABE" w:rsidP="00367ABE">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67ABE" w:rsidRDefault="00367ABE" w:rsidP="00367ABE">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367ABE" w:rsidRDefault="00367ABE" w:rsidP="00367ABE">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67ABE" w:rsidRDefault="00367ABE" w:rsidP="00367ABE">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367ABE" w:rsidRDefault="00367ABE" w:rsidP="00367ABE">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67ABE" w:rsidRDefault="00367ABE" w:rsidP="00367ABE">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367ABE" w:rsidRDefault="00367ABE" w:rsidP="00367ABE">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67ABE" w:rsidRDefault="00367ABE" w:rsidP="00367ABE">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367ABE" w:rsidRDefault="00367ABE" w:rsidP="00367ABE">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67ABE" w:rsidRDefault="00367ABE" w:rsidP="00367ABE">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367ABE" w:rsidRDefault="00367ABE" w:rsidP="00367ABE">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67ABE" w:rsidRDefault="00367ABE" w:rsidP="00367ABE">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367ABE" w:rsidRDefault="00367ABE" w:rsidP="00367ABE">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67ABE" w:rsidRDefault="00367ABE" w:rsidP="00367ABE">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367ABE" w:rsidRDefault="00367ABE" w:rsidP="00367ABE">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367ABE" w:rsidRDefault="00367ABE" w:rsidP="00367ABE">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367ABE" w:rsidRDefault="00367ABE" w:rsidP="00367ABE">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367ABE" w:rsidRDefault="00367ABE" w:rsidP="00367ABE">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367ABE" w:rsidRDefault="00367ABE" w:rsidP="00367ABE">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367ABE" w:rsidRDefault="00367ABE" w:rsidP="00367ABE">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367ABE" w:rsidRDefault="00367ABE" w:rsidP="00367ABE">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367ABE" w:rsidRDefault="00367ABE" w:rsidP="00367ABE">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367ABE" w:rsidRDefault="00367ABE" w:rsidP="00367ABE">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367ABE" w:rsidRDefault="00367ABE" w:rsidP="00367ABE">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367ABE" w:rsidRDefault="00367ABE" w:rsidP="00367ABE">
                    <w:pPr>
                      <w:rPr>
                        <w:rFonts w:eastAsia="Times New Roman"/>
                      </w:rPr>
                    </w:pPr>
                  </w:p>
                </w:txbxContent>
              </v:textbox>
            </v:shape>
            <w10:wrap anchorx="margin"/>
          </v:group>
        </w:pict>
      </w:r>
    </w:p>
    <w:p w:rsidR="00367ABE" w:rsidRDefault="00367ABE" w:rsidP="00367ABE">
      <w:pPr>
        <w:spacing w:after="0" w:line="240" w:lineRule="auto"/>
        <w:jc w:val="center"/>
        <w:rPr>
          <w:rFonts w:ascii="Times New Roman" w:eastAsia="Arial Unicode MS" w:hAnsi="Times New Roman" w:cs="Times New Roman"/>
          <w:b/>
          <w:color w:val="000000"/>
          <w:sz w:val="24"/>
          <w:szCs w:val="24"/>
        </w:rPr>
      </w:pPr>
    </w:p>
    <w:p w:rsidR="00367ABE" w:rsidRDefault="00367ABE" w:rsidP="00367ABE">
      <w:pPr>
        <w:spacing w:after="0" w:line="240" w:lineRule="auto"/>
        <w:rPr>
          <w:rFonts w:ascii="Times New Roman" w:eastAsia="Arial Unicode MS" w:hAnsi="Times New Roman" w:cs="Times New Roman"/>
          <w:b/>
          <w:color w:val="000000"/>
          <w:sz w:val="24"/>
          <w:szCs w:val="24"/>
        </w:rPr>
      </w:pPr>
    </w:p>
    <w:p w:rsidR="00367ABE" w:rsidRDefault="00367ABE" w:rsidP="00367ABE">
      <w:pPr>
        <w:spacing w:after="0" w:line="240" w:lineRule="auto"/>
        <w:jc w:val="center"/>
        <w:rPr>
          <w:rFonts w:ascii="Times New Roman" w:eastAsia="Arial Unicode MS" w:hAnsi="Times New Roman" w:cs="Times New Roman"/>
          <w:b/>
          <w:color w:val="000000"/>
          <w:sz w:val="24"/>
          <w:szCs w:val="24"/>
        </w:rPr>
      </w:pPr>
    </w:p>
    <w:p w:rsidR="00367ABE" w:rsidRDefault="00367ABE" w:rsidP="00367ABE">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367ABE" w:rsidRDefault="00367ABE" w:rsidP="00367ABE">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367ABE" w:rsidRDefault="00367ABE" w:rsidP="00367AB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367ABE" w:rsidRDefault="00367ABE" w:rsidP="00367AB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367ABE" w:rsidRDefault="00367ABE" w:rsidP="00367ABE">
      <w:pPr>
        <w:spacing w:after="0" w:line="240" w:lineRule="auto"/>
        <w:jc w:val="center"/>
        <w:rPr>
          <w:rFonts w:ascii="Times New Roman" w:eastAsia="Arial Unicode MS" w:hAnsi="Times New Roman" w:cs="Times New Roman"/>
          <w:b/>
          <w:color w:val="000000"/>
          <w:sz w:val="24"/>
          <w:szCs w:val="24"/>
        </w:rPr>
      </w:pPr>
    </w:p>
    <w:p w:rsidR="00367ABE" w:rsidRDefault="00367ABE" w:rsidP="00367ABE">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367ABE" w:rsidRDefault="00367ABE" w:rsidP="00367ABE">
      <w:pPr>
        <w:spacing w:after="0" w:line="240" w:lineRule="auto"/>
        <w:jc w:val="center"/>
        <w:rPr>
          <w:rFonts w:ascii="Times New Roman" w:eastAsia="Arial Unicode MS" w:hAnsi="Times New Roman" w:cs="Times New Roman"/>
          <w:b/>
          <w:color w:val="000000"/>
          <w:sz w:val="24"/>
          <w:szCs w:val="24"/>
        </w:rPr>
      </w:pPr>
    </w:p>
    <w:p w:rsidR="00367ABE" w:rsidRDefault="00367ABE" w:rsidP="00367ABE">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367ABE" w:rsidRPr="0005326B" w:rsidRDefault="00367ABE" w:rsidP="00367ABE">
      <w:pPr>
        <w:spacing w:after="0" w:line="240" w:lineRule="auto"/>
        <w:jc w:val="both"/>
        <w:rPr>
          <w:rFonts w:ascii="Times New Roman" w:eastAsia="Calibri" w:hAnsi="Times New Roman" w:cs="Times New Roman"/>
          <w:color w:val="000000"/>
          <w:sz w:val="24"/>
          <w:szCs w:val="24"/>
        </w:rPr>
      </w:pPr>
    </w:p>
    <w:p w:rsidR="00367ABE" w:rsidRPr="00867B7E" w:rsidRDefault="00367ABE" w:rsidP="00367ABE">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15.01.2020 року                                            Крупець                                                 №11</w:t>
      </w:r>
    </w:p>
    <w:p w:rsidR="00367ABE" w:rsidRDefault="00367ABE" w:rsidP="00367ABE">
      <w:pPr>
        <w:tabs>
          <w:tab w:val="left" w:pos="2160"/>
        </w:tabs>
        <w:spacing w:after="0" w:line="240" w:lineRule="auto"/>
        <w:rPr>
          <w:rFonts w:ascii="Times New Roman" w:eastAsia="Arial Unicode MS" w:hAnsi="Times New Roman" w:cs="Times New Roman"/>
          <w:color w:val="FF0000"/>
          <w:sz w:val="24"/>
          <w:szCs w:val="24"/>
        </w:rPr>
      </w:pPr>
    </w:p>
    <w:p w:rsidR="00367ABE" w:rsidRDefault="00367ABE" w:rsidP="00367ABE">
      <w:pPr>
        <w:suppressAutoHyphens/>
        <w:spacing w:after="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Про затвердження Програми </w:t>
      </w:r>
    </w:p>
    <w:p w:rsidR="00367ABE" w:rsidRDefault="00367ABE" w:rsidP="00367ABE">
      <w:pPr>
        <w:suppressAutoHyphens/>
        <w:spacing w:after="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комплексного розвитку території </w:t>
      </w:r>
    </w:p>
    <w:p w:rsidR="00367ABE" w:rsidRDefault="00367ABE" w:rsidP="00367ABE">
      <w:pPr>
        <w:suppressAutoHyphens/>
        <w:spacing w:after="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Крупецької  об’єднаної територіальної</w:t>
      </w:r>
    </w:p>
    <w:p w:rsidR="00367ABE" w:rsidRDefault="00367ABE" w:rsidP="00367ABE">
      <w:pPr>
        <w:suppressAutoHyphens/>
        <w:spacing w:after="0"/>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громади на 2020 – 2024 роки</w:t>
      </w:r>
    </w:p>
    <w:p w:rsidR="00367ABE" w:rsidRDefault="00367ABE" w:rsidP="00367ABE">
      <w:pPr>
        <w:tabs>
          <w:tab w:val="left" w:pos="2160"/>
        </w:tabs>
        <w:spacing w:after="0"/>
        <w:rPr>
          <w:rFonts w:ascii="Times New Roman" w:eastAsia="Arial Unicode MS" w:hAnsi="Times New Roman" w:cs="Times New Roman"/>
          <w:color w:val="000000"/>
          <w:sz w:val="24"/>
          <w:szCs w:val="24"/>
        </w:rPr>
      </w:pPr>
    </w:p>
    <w:p w:rsidR="00367ABE" w:rsidRDefault="00367ABE" w:rsidP="00367ABE">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Відповідно до пункту 34 частини 1 статті 26,  статті 42 Закону України «Про місцеве самоврядування в Україні», </w:t>
      </w:r>
      <w:r>
        <w:rPr>
          <w:rFonts w:ascii="Times New Roman" w:eastAsia="Times New Roman" w:hAnsi="Times New Roman" w:cs="Times New Roman"/>
          <w:sz w:val="24"/>
          <w:szCs w:val="24"/>
          <w:lang w:eastAsia="ru-RU"/>
        </w:rPr>
        <w:t xml:space="preserve">з метою забезпечення планування й розвитку територій місцевому рівні, визначення пріоритетів і концептуальних рішень планування й використання території сільської ради, вдосконалення системи розселення та забезпечення сталого розвитку населених пунктів, розвитку виробничої, соціальної та інженерно - транспортної інфраструктури, формування екологічної мережі </w:t>
      </w:r>
      <w:r>
        <w:rPr>
          <w:rFonts w:ascii="Times New Roman" w:eastAsia="Arial Unicode MS" w:hAnsi="Times New Roman" w:cs="Times New Roman"/>
          <w:color w:val="000000"/>
          <w:sz w:val="24"/>
          <w:szCs w:val="24"/>
        </w:rPr>
        <w:t xml:space="preserve">сільська рада </w:t>
      </w:r>
    </w:p>
    <w:p w:rsidR="00367ABE" w:rsidRDefault="00367ABE" w:rsidP="00367ABE">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ВИРІШИЛА :</w:t>
      </w:r>
    </w:p>
    <w:p w:rsidR="00367ABE" w:rsidRPr="00562086"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Arial Unicode MS" w:hAnsi="Times New Roman" w:cs="Times New Roman"/>
          <w:color w:val="000000"/>
          <w:sz w:val="24"/>
          <w:szCs w:val="24"/>
        </w:rPr>
        <w:t xml:space="preserve">          1.Затвердити Програму </w:t>
      </w:r>
      <w:r>
        <w:rPr>
          <w:rFonts w:ascii="Times New Roman" w:eastAsia="Times New Roman" w:hAnsi="Times New Roman" w:cs="Times New Roman"/>
          <w:sz w:val="24"/>
          <w:szCs w:val="24"/>
          <w:lang w:eastAsia="ar-SA"/>
        </w:rPr>
        <w:t>комплексного розвитку території Крупецької  об’єднаної територіальної громади на 2020 – 2024 роки.</w:t>
      </w:r>
    </w:p>
    <w:p w:rsidR="00367ABE" w:rsidRDefault="00367ABE" w:rsidP="00367ABE">
      <w:pPr>
        <w:spacing w:after="0"/>
        <w:jc w:val="both"/>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367ABE" w:rsidRDefault="00367ABE" w:rsidP="00367ABE">
      <w:pPr>
        <w:tabs>
          <w:tab w:val="left" w:pos="2160"/>
        </w:tabs>
        <w:spacing w:after="0"/>
        <w:jc w:val="both"/>
        <w:rPr>
          <w:rFonts w:ascii="Times New Roman" w:eastAsia="Arial Unicode MS" w:hAnsi="Times New Roman" w:cs="Times New Roman"/>
          <w:color w:val="000000"/>
          <w:sz w:val="24"/>
          <w:szCs w:val="24"/>
        </w:rPr>
      </w:pPr>
    </w:p>
    <w:p w:rsidR="00367ABE" w:rsidRDefault="00367ABE" w:rsidP="00367ABE">
      <w:pPr>
        <w:tabs>
          <w:tab w:val="left" w:pos="2160"/>
        </w:tabs>
        <w:spacing w:after="0"/>
        <w:rPr>
          <w:rFonts w:ascii="Times New Roman" w:eastAsia="Arial Unicode MS" w:hAnsi="Times New Roman" w:cs="Times New Roman"/>
          <w:color w:val="000000"/>
          <w:sz w:val="24"/>
          <w:szCs w:val="24"/>
        </w:rPr>
      </w:pPr>
    </w:p>
    <w:p w:rsidR="00367ABE" w:rsidRDefault="00367ABE" w:rsidP="00367ABE">
      <w:pPr>
        <w:tabs>
          <w:tab w:val="left" w:pos="2160"/>
        </w:tabs>
        <w:spacing w:after="0"/>
        <w:rPr>
          <w:rFonts w:ascii="Times New Roman" w:eastAsia="Arial Unicode MS" w:hAnsi="Times New Roman" w:cs="Times New Roman"/>
          <w:color w:val="000000"/>
          <w:sz w:val="24"/>
          <w:szCs w:val="24"/>
        </w:rPr>
      </w:pPr>
    </w:p>
    <w:p w:rsidR="00367ABE" w:rsidRDefault="00367ABE" w:rsidP="00367ABE">
      <w:pPr>
        <w:tabs>
          <w:tab w:val="left" w:pos="2160"/>
        </w:tabs>
        <w:spacing w:after="0"/>
        <w:rPr>
          <w:rFonts w:ascii="Times New Roman" w:eastAsia="Arial Unicode MS" w:hAnsi="Times New Roman" w:cs="Times New Roman"/>
          <w:color w:val="000000"/>
          <w:sz w:val="24"/>
          <w:szCs w:val="24"/>
        </w:rPr>
      </w:pPr>
    </w:p>
    <w:p w:rsidR="00367ABE" w:rsidRDefault="00367ABE" w:rsidP="00367ABE">
      <w:pPr>
        <w:tabs>
          <w:tab w:val="left" w:pos="2160"/>
        </w:tabs>
        <w:spacing w:after="0"/>
        <w:rPr>
          <w:rFonts w:ascii="Times New Roman" w:eastAsia="Arial Unicode MS" w:hAnsi="Times New Roman" w:cs="Times New Roman"/>
          <w:color w:val="000000"/>
          <w:sz w:val="24"/>
          <w:szCs w:val="24"/>
        </w:rPr>
      </w:pPr>
    </w:p>
    <w:p w:rsidR="00367ABE" w:rsidRDefault="00367ABE" w:rsidP="00367ABE">
      <w:pPr>
        <w:spacing w:after="0"/>
        <w:rPr>
          <w:rFonts w:ascii="Times New Roman" w:eastAsia="Arial Unicode MS" w:hAnsi="Times New Roman" w:cs="Times New Roman"/>
          <w:color w:val="000000"/>
          <w:sz w:val="24"/>
          <w:szCs w:val="24"/>
        </w:rPr>
      </w:pPr>
    </w:p>
    <w:p w:rsidR="00367ABE" w:rsidRDefault="00367ABE" w:rsidP="00367ABE">
      <w:pPr>
        <w:spacing w:after="0"/>
        <w:rPr>
          <w:rFonts w:ascii="Times New Roman" w:eastAsia="Arial Unicode MS" w:hAnsi="Times New Roman" w:cs="Times New Roman"/>
          <w:color w:val="000000"/>
          <w:sz w:val="24"/>
          <w:szCs w:val="24"/>
        </w:rPr>
      </w:pPr>
    </w:p>
    <w:p w:rsidR="00367ABE" w:rsidRDefault="00367ABE" w:rsidP="00367ABE">
      <w:pPr>
        <w:spacing w:after="0"/>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Сільський голова                                                                                           В.А.  </w:t>
      </w:r>
      <w:proofErr w:type="spellStart"/>
      <w:r>
        <w:rPr>
          <w:rFonts w:ascii="Times New Roman" w:eastAsia="Arial Unicode MS" w:hAnsi="Times New Roman" w:cs="Times New Roman"/>
          <w:color w:val="000000"/>
          <w:sz w:val="24"/>
          <w:szCs w:val="24"/>
        </w:rPr>
        <w:t>Михалюк</w:t>
      </w:r>
      <w:proofErr w:type="spellEnd"/>
      <w:r>
        <w:rPr>
          <w:rFonts w:ascii="Times New Roman" w:eastAsia="Arial Unicode MS" w:hAnsi="Times New Roman" w:cs="Times New Roman"/>
          <w:color w:val="000000"/>
          <w:sz w:val="24"/>
          <w:szCs w:val="24"/>
        </w:rPr>
        <w:t xml:space="preserve"> </w:t>
      </w:r>
    </w:p>
    <w:p w:rsidR="00367ABE" w:rsidRDefault="00367ABE" w:rsidP="00367ABE">
      <w:pPr>
        <w:spacing w:after="0" w:line="240" w:lineRule="auto"/>
        <w:rPr>
          <w:rFonts w:ascii="Times New Roman" w:eastAsia="Arial Unicode MS" w:hAnsi="Times New Roman" w:cs="Times New Roman"/>
          <w:color w:val="000000"/>
          <w:sz w:val="24"/>
          <w:szCs w:val="24"/>
        </w:rPr>
        <w:sectPr w:rsidR="00367ABE">
          <w:headerReference w:type="even" r:id="rId5"/>
          <w:headerReference w:type="default" r:id="rId6"/>
          <w:footerReference w:type="even" r:id="rId7"/>
          <w:footerReference w:type="default" r:id="rId8"/>
          <w:headerReference w:type="first" r:id="rId9"/>
          <w:footerReference w:type="first" r:id="rId10"/>
          <w:pgSz w:w="11906" w:h="16838"/>
          <w:pgMar w:top="765" w:right="851" w:bottom="1134" w:left="1701" w:header="397" w:footer="709" w:gutter="0"/>
          <w:pgNumType w:start="1"/>
          <w:cols w:space="720"/>
        </w:sectPr>
      </w:pPr>
    </w:p>
    <w:p w:rsidR="00367ABE" w:rsidRDefault="00367ABE" w:rsidP="00367ABE">
      <w:pPr>
        <w:suppressAutoHyphens/>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xml:space="preserve">                                                                                                     Затверджено</w:t>
      </w:r>
    </w:p>
    <w:p w:rsidR="00367ABE" w:rsidRPr="0077709F" w:rsidRDefault="00367ABE" w:rsidP="00367ABE">
      <w:pPr>
        <w:suppressAutoHyphens/>
        <w:spacing w:after="0" w:line="240" w:lineRule="auto"/>
        <w:ind w:left="6096"/>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рішенням ХХХІІ сесії  сільської   ради VІІ скликання </w:t>
      </w:r>
    </w:p>
    <w:p w:rsidR="00367ABE" w:rsidRDefault="00367ABE" w:rsidP="00367ABE">
      <w:pPr>
        <w:suppressAutoHyphens/>
        <w:spacing w:after="0" w:line="240" w:lineRule="auto"/>
        <w:ind w:left="6096"/>
        <w:rPr>
          <w:rFonts w:ascii="Times New Roman" w:eastAsia="Times New Roman" w:hAnsi="Times New Roman" w:cs="Times New Roman"/>
          <w:sz w:val="28"/>
          <w:szCs w:val="28"/>
          <w:lang w:eastAsia="ar-SA"/>
        </w:rPr>
      </w:pPr>
      <w:r>
        <w:rPr>
          <w:rFonts w:ascii="Times New Roman" w:eastAsia="Times New Roman" w:hAnsi="Times New Roman" w:cs="Times New Roman"/>
          <w:sz w:val="24"/>
          <w:szCs w:val="24"/>
          <w:lang w:eastAsia="ar-SA"/>
        </w:rPr>
        <w:t>від 15.01.2020 р.  №11</w:t>
      </w:r>
    </w:p>
    <w:p w:rsidR="00367ABE" w:rsidRDefault="00367ABE" w:rsidP="00367ABE">
      <w:pPr>
        <w:suppressAutoHyphens/>
        <w:spacing w:after="0"/>
        <w:rPr>
          <w:rFonts w:ascii="Times New Roman" w:eastAsia="Times New Roman" w:hAnsi="Times New Roman" w:cs="Times New Roman"/>
          <w:sz w:val="28"/>
          <w:szCs w:val="28"/>
          <w:lang w:eastAsia="ar-SA"/>
        </w:rPr>
      </w:pPr>
    </w:p>
    <w:p w:rsidR="00367ABE" w:rsidRDefault="00367ABE" w:rsidP="00367ABE">
      <w:pPr>
        <w:suppressAutoHyphens/>
        <w:spacing w:after="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 xml:space="preserve">Програма комплексного розвитку території </w:t>
      </w:r>
    </w:p>
    <w:p w:rsidR="00367ABE" w:rsidRDefault="00367ABE" w:rsidP="00367ABE">
      <w:pPr>
        <w:suppressAutoHyphens/>
        <w:spacing w:after="0"/>
        <w:jc w:val="center"/>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t>Крупецької  об’єднаної територіальної громади на 2020 – 2024 роки</w:t>
      </w:r>
    </w:p>
    <w:p w:rsidR="00367ABE" w:rsidRDefault="00367ABE" w:rsidP="00367ABE">
      <w:pPr>
        <w:suppressAutoHyphens/>
        <w:spacing w:after="0"/>
        <w:rPr>
          <w:rFonts w:ascii="Times New Roman" w:eastAsia="Times New Roman" w:hAnsi="Times New Roman" w:cs="Times New Roman"/>
          <w:sz w:val="28"/>
          <w:szCs w:val="28"/>
          <w:lang w:eastAsia="ar-SA"/>
        </w:rPr>
      </w:pPr>
    </w:p>
    <w:p w:rsidR="00367ABE" w:rsidRDefault="00367ABE" w:rsidP="00367ABE">
      <w:pPr>
        <w:suppressAutoHyphens/>
        <w:spacing w:after="0"/>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І. Проблеми, на розв’язання яких спрямована Програма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Програма комплексного розвитку території Крупецької  об’єднаної територіальної громади на 2020 – 2024 роки, спрямована на забезпечення планування та розвитку території на місцевому рівні відповідним органом місцевого самоврядування. Визначає пріоритети та концептуальні вирішення планування і використання території, вдосконалення системи розселення та забезпечення сталого розвитку населених пунктів, розвитку виробничої, соціальної та інженерно-транспортної інфраструктури, формування екологічної мережі, тощо.</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Програма розроблена відповідно до Законів України «Про основи містобудування», «Про регулювання містобудівної діяльності», «Про архітектурну діяльність», «Про Генеральну схему планування території України», «Про землеустрій», «Про благоустрій населених пунктів», «Про охорону культурної спадщини», Постанови Кабінету Міністрів України від 25.05.2011 №559 «Про містобудівний кадастр», Земельного кодексу України.</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Відповідно до законодавчих актів України містобудівна документація визначає принципові вирішення планування, забудови та іншого використання територій.</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Реалізація схеми планування території здійснюється шляхом розроблення, затвердження і виконання відповідних Програм економічного і соціального розвитку.</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Планування територій на місцевому рівні здійснюється шляхом розроблення та затвердження генеральних планів населених пунктів, планів зонування територій і детальних планів територій.</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Генеральний план населеного пункту є основним видом містобудівної документації на місцевому рівні, призначеної для обґрунтування довгострокової стратегії планування, забудови та іншого використання території населеного пункту.</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ascii="Times New Roman" w:eastAsia="Times New Roman" w:hAnsi="Times New Roman" w:cs="Times New Roman"/>
          <w:color w:val="FF6600"/>
          <w:sz w:val="24"/>
          <w:szCs w:val="24"/>
          <w:lang w:eastAsia="ar-SA"/>
        </w:rPr>
      </w:pPr>
      <w:r>
        <w:rPr>
          <w:rFonts w:ascii="Times New Roman" w:eastAsia="Times New Roman" w:hAnsi="Times New Roman" w:cs="Times New Roman"/>
          <w:sz w:val="24"/>
          <w:szCs w:val="24"/>
          <w:lang w:eastAsia="ar-SA"/>
        </w:rPr>
        <w:tab/>
        <w:t>У разі відсутності плану зонування або детального плану території, передача (надання) земельних ділянок із земель державної або комунальної власності у власність чи користування фізичним та юридичним особам для містобудівних потреб забороняється.</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ascii="Times New Roman" w:eastAsia="Times New Roman" w:hAnsi="Times New Roman" w:cs="Times New Roman"/>
          <w:color w:val="FF6600"/>
          <w:sz w:val="24"/>
          <w:szCs w:val="24"/>
          <w:lang w:eastAsia="ar-SA"/>
        </w:rPr>
      </w:pPr>
      <w:r>
        <w:rPr>
          <w:rFonts w:ascii="Times New Roman" w:eastAsia="Times New Roman" w:hAnsi="Times New Roman" w:cs="Times New Roman"/>
          <w:color w:val="FF6600"/>
          <w:sz w:val="24"/>
          <w:szCs w:val="24"/>
          <w:lang w:eastAsia="ar-SA"/>
        </w:rPr>
        <w:tab/>
      </w:r>
      <w:r>
        <w:rPr>
          <w:rFonts w:ascii="Times New Roman" w:eastAsia="Times New Roman" w:hAnsi="Times New Roman" w:cs="Times New Roman"/>
          <w:sz w:val="24"/>
          <w:szCs w:val="24"/>
          <w:lang w:eastAsia="ar-SA"/>
        </w:rPr>
        <w:t>Зміна цільового призначення земельної ділянки, яка не відповідає плану зонування території та/або детальному плану території забороняється.</w:t>
      </w:r>
    </w:p>
    <w:p w:rsidR="00367ABE" w:rsidRDefault="00367ABE" w:rsidP="00367ABE">
      <w:pPr>
        <w:suppressAutoHyphens/>
        <w:spacing w:after="0"/>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Розвиток земельних відносин спрямований на раціональне використання та охорону земельних ресурсів, реалізацію державної політики </w:t>
      </w:r>
    </w:p>
    <w:p w:rsidR="00367ABE" w:rsidRDefault="00367ABE" w:rsidP="00367ABE">
      <w:pPr>
        <w:suppressAutoHyphens/>
        <w:spacing w:after="0"/>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України щодо забезпечення сталого розвитку землекористування, рівності права власності на землю територіальних громад та держави, захисту прав власників та </w:t>
      </w:r>
      <w:r>
        <w:rPr>
          <w:rFonts w:ascii="Times New Roman" w:eastAsia="Times New Roman" w:hAnsi="Times New Roman" w:cs="Times New Roman"/>
          <w:sz w:val="24"/>
          <w:szCs w:val="24"/>
          <w:lang w:eastAsia="ar-SA"/>
        </w:rPr>
        <w:lastRenderedPageBreak/>
        <w:t>користувачів земельних ділянок, а також створення більш сприятливих умов для залучення інвестицій у пріоритетні галузі економіки області.</w:t>
      </w:r>
    </w:p>
    <w:p w:rsidR="00367ABE" w:rsidRDefault="00367ABE" w:rsidP="00367ABE">
      <w:pPr>
        <w:suppressAutoHyphens/>
        <w:spacing w:after="0"/>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 частині розвитку земельних відносин Програма спрямовуються на: </w:t>
      </w:r>
    </w:p>
    <w:p w:rsidR="00367ABE" w:rsidRDefault="00367ABE" w:rsidP="00367ABE">
      <w:pPr>
        <w:suppressAutoHyphens/>
        <w:spacing w:after="0"/>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проведення інвентаризації земель, що є необхідною умовою створення інформаційної бази для ведення державного земельного кадастру, ефективного регулювання земельних відносин, раціонального використання і охорони земельних ресурсів, оподаткування, наповнення бюджетів всіх рівнів від продажу прав оренди на земельні ділянки, оформлення правовстановлюючих документів на землю державними і комунальними підприємствами і установами;</w:t>
      </w:r>
    </w:p>
    <w:p w:rsidR="00367ABE" w:rsidRDefault="00367ABE" w:rsidP="00367ABE">
      <w:pPr>
        <w:suppressAutoHyphens/>
        <w:spacing w:after="0"/>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проведення нормативної грошової оцінки земель, що дає можливість забезпечити реалізацію правових відносин, які виникають з приводу відчуження земельних ділянок, у тому числі їх передачі у спадщину, міни, дарування, купівлі-продажу земельних ділянок та прав на них, є встановленим законодавством засобом для визначення ставок земельного податку та орендної плати, ціноутворення, визначення втрат сільськогосподарського та лісогосподарського виробництва, розробки показників та механізмів економічного стимулювання раціонального використання та охорони земель.</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ascii="Times New Roman" w:eastAsia="Times New Roman" w:hAnsi="Times New Roman" w:cs="Times New Roman"/>
          <w:color w:val="000000"/>
          <w:sz w:val="24"/>
          <w:szCs w:val="24"/>
          <w:lang w:eastAsia="ar-SA"/>
        </w:rPr>
      </w:pPr>
      <w:r>
        <w:rPr>
          <w:rFonts w:ascii="Times New Roman" w:eastAsia="Times New Roman" w:hAnsi="Times New Roman" w:cs="Times New Roman"/>
          <w:sz w:val="24"/>
          <w:szCs w:val="24"/>
          <w:lang w:eastAsia="ar-SA"/>
        </w:rPr>
        <w:tab/>
        <w:t xml:space="preserve">Топографо-геодезичні та картографічні  роботи  проводяться  з </w:t>
      </w:r>
      <w:r>
        <w:rPr>
          <w:rFonts w:ascii="Times New Roman" w:eastAsia="Times New Roman" w:hAnsi="Times New Roman" w:cs="Times New Roman"/>
          <w:sz w:val="24"/>
          <w:szCs w:val="24"/>
          <w:lang w:eastAsia="ar-SA"/>
        </w:rPr>
        <w:br/>
        <w:t xml:space="preserve">метою створення і своєчасного поновлення планово-картографічної </w:t>
      </w:r>
      <w:r>
        <w:rPr>
          <w:rFonts w:ascii="Times New Roman" w:eastAsia="Times New Roman" w:hAnsi="Times New Roman" w:cs="Times New Roman"/>
          <w:sz w:val="24"/>
          <w:szCs w:val="24"/>
          <w:lang w:eastAsia="ar-SA"/>
        </w:rPr>
        <w:br/>
        <w:t>основи при здійсненні землеустрою та виготовлення містобудівної документації.</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ab/>
        <w:t>Здійснення з</w:t>
      </w:r>
      <w:r>
        <w:rPr>
          <w:rFonts w:ascii="Times New Roman" w:eastAsia="Times New Roman" w:hAnsi="Times New Roman" w:cs="Times New Roman"/>
          <w:sz w:val="24"/>
          <w:szCs w:val="24"/>
          <w:lang w:eastAsia="ar-SA"/>
        </w:rPr>
        <w:t xml:space="preserve">емлеустрою - сукупність соціально-економічних та екологічних заходів, спрямованих   на   регулювання  земельних  відносин  та раціональну  організацію  території адміністративно-територіальних одиниць,  суб'єктів  господарювання,  що  здійснюються під впливом суспільно-виробничих відносин і розвитку продуктивних сил. </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Розроблення документації  із  землеустрою  (землевпорядна документація)- затверджені   в   установленому   порядку   текстові  та  графічні матеріали,   якими  регулюється використання та охорона земель державної,  комунальної  та приватної власності, а також матеріали обстеження   і   розвідування   земель,   авторського  нагляду  за виконанням  проектів  тощо.</w:t>
      </w:r>
      <w:r>
        <w:rPr>
          <w:rFonts w:ascii="Times New Roman" w:eastAsia="Times New Roman" w:hAnsi="Times New Roman" w:cs="Times New Roman"/>
          <w:sz w:val="24"/>
          <w:szCs w:val="24"/>
          <w:lang w:eastAsia="ar-SA"/>
        </w:rPr>
        <w:tab/>
      </w:r>
    </w:p>
    <w:p w:rsidR="00367ABE" w:rsidRDefault="00367ABE" w:rsidP="00367ABE">
      <w:pPr>
        <w:shd w:val="clear" w:color="auto" w:fill="FFFFFF"/>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Документація  із  землеустрою  розробляється у вигляді схеми, </w:t>
      </w:r>
      <w:r>
        <w:rPr>
          <w:rFonts w:ascii="Times New Roman" w:eastAsia="Times New Roman" w:hAnsi="Times New Roman" w:cs="Times New Roman"/>
          <w:sz w:val="24"/>
          <w:szCs w:val="24"/>
          <w:lang w:eastAsia="ar-SA"/>
        </w:rPr>
        <w:br/>
        <w:t>проекту, робочого проекту або технічної документації.</w:t>
      </w:r>
    </w:p>
    <w:p w:rsidR="00367ABE" w:rsidRDefault="00367ABE" w:rsidP="00367ABE">
      <w:pPr>
        <w:suppressAutoHyphens/>
        <w:spacing w:after="0"/>
        <w:ind w:firstLine="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Відповідно до норм чинного законодавства Кабінетом Міністрів України та Міністерством регіонального розвитку України поставлено завдання здійснити   організаційні   заходи       щодо створення і забезпечення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функціонування служб містобудівного кадастру на регіональному та базовому рівнях.</w:t>
      </w:r>
    </w:p>
    <w:p w:rsidR="00367ABE" w:rsidRDefault="00367ABE" w:rsidP="00367ABE">
      <w:pPr>
        <w:widowControl w:val="0"/>
        <w:suppressAutoHyphens/>
        <w:spacing w:after="0"/>
        <w:ind w:firstLine="709"/>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Створення відповідної </w:t>
      </w:r>
      <w:proofErr w:type="spellStart"/>
      <w:r>
        <w:rPr>
          <w:rFonts w:ascii="Times New Roman" w:eastAsia="Times New Roman" w:hAnsi="Times New Roman" w:cs="Times New Roman"/>
          <w:sz w:val="24"/>
          <w:szCs w:val="24"/>
          <w:lang w:eastAsia="ar-SA"/>
        </w:rPr>
        <w:t>геоінформаційної</w:t>
      </w:r>
      <w:proofErr w:type="spellEnd"/>
      <w:r>
        <w:rPr>
          <w:rFonts w:ascii="Times New Roman" w:eastAsia="Times New Roman" w:hAnsi="Times New Roman" w:cs="Times New Roman"/>
          <w:sz w:val="24"/>
          <w:szCs w:val="24"/>
          <w:lang w:eastAsia="ar-SA"/>
        </w:rPr>
        <w:t xml:space="preserve"> системи містобудівного кадастру має стати інтегрованим корпоративним рішенням, яке базується на сучасних </w:t>
      </w:r>
      <w:proofErr w:type="spellStart"/>
      <w:r>
        <w:rPr>
          <w:rFonts w:ascii="Times New Roman" w:eastAsia="Times New Roman" w:hAnsi="Times New Roman" w:cs="Times New Roman"/>
          <w:sz w:val="24"/>
          <w:szCs w:val="24"/>
          <w:lang w:eastAsia="ar-SA"/>
        </w:rPr>
        <w:t>геоінформаційних</w:t>
      </w:r>
      <w:proofErr w:type="spellEnd"/>
      <w:r>
        <w:rPr>
          <w:rFonts w:ascii="Times New Roman" w:eastAsia="Times New Roman" w:hAnsi="Times New Roman" w:cs="Times New Roman"/>
          <w:sz w:val="24"/>
          <w:szCs w:val="24"/>
          <w:lang w:eastAsia="ar-SA"/>
        </w:rPr>
        <w:t xml:space="preserve"> технологіях зі створенням </w:t>
      </w:r>
      <w:proofErr w:type="spellStart"/>
      <w:r>
        <w:rPr>
          <w:rFonts w:ascii="Times New Roman" w:eastAsia="Times New Roman" w:hAnsi="Times New Roman" w:cs="Times New Roman"/>
          <w:sz w:val="24"/>
          <w:szCs w:val="24"/>
          <w:lang w:eastAsia="ar-SA"/>
        </w:rPr>
        <w:t>геопорталу</w:t>
      </w:r>
      <w:proofErr w:type="spellEnd"/>
      <w:r>
        <w:rPr>
          <w:rFonts w:ascii="Times New Roman" w:eastAsia="Times New Roman" w:hAnsi="Times New Roman" w:cs="Times New Roman"/>
          <w:sz w:val="24"/>
          <w:szCs w:val="24"/>
          <w:lang w:eastAsia="ar-SA"/>
        </w:rPr>
        <w:t xml:space="preserve"> даних (із включенням до єдиної системи інформаційних ресурсів даних галузевих кадастрів, на місцевому рівні та іншої, обумовленої законодавством інформації) і визначенням єдності  організаційних, технічних та технологічних принципів будування </w:t>
      </w:r>
      <w:proofErr w:type="spellStart"/>
      <w:r>
        <w:rPr>
          <w:rFonts w:ascii="Times New Roman" w:eastAsia="Times New Roman" w:hAnsi="Times New Roman" w:cs="Times New Roman"/>
          <w:sz w:val="24"/>
          <w:szCs w:val="24"/>
          <w:lang w:eastAsia="ar-SA"/>
        </w:rPr>
        <w:t>геоінформаційних</w:t>
      </w:r>
      <w:proofErr w:type="spellEnd"/>
      <w:r>
        <w:rPr>
          <w:rFonts w:ascii="Times New Roman" w:eastAsia="Times New Roman" w:hAnsi="Times New Roman" w:cs="Times New Roman"/>
          <w:sz w:val="24"/>
          <w:szCs w:val="24"/>
          <w:lang w:eastAsia="ar-SA"/>
        </w:rPr>
        <w:t xml:space="preserve"> підсистем різного рівня. </w:t>
      </w:r>
    </w:p>
    <w:p w:rsidR="00367ABE" w:rsidRDefault="00367ABE" w:rsidP="00367ABE">
      <w:pPr>
        <w:suppressAutoHyphens/>
        <w:spacing w:after="0"/>
        <w:ind w:firstLine="709"/>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sz w:val="24"/>
          <w:szCs w:val="24"/>
          <w:lang w:eastAsia="ar-SA"/>
        </w:rPr>
        <w:lastRenderedPageBreak/>
        <w:t xml:space="preserve">З метою реалізації державної політики у сфері містобудування постає необхідність запровадження комплексного підходу до вирішення питання щодо створення містобудівного кадастру – державної системи зберігання і використання </w:t>
      </w:r>
      <w:proofErr w:type="spellStart"/>
      <w:r>
        <w:rPr>
          <w:rFonts w:ascii="Times New Roman" w:eastAsia="Times New Roman" w:hAnsi="Times New Roman" w:cs="Times New Roman"/>
          <w:sz w:val="24"/>
          <w:szCs w:val="24"/>
          <w:lang w:eastAsia="ar-SA"/>
        </w:rPr>
        <w:t>геопросторових</w:t>
      </w:r>
      <w:proofErr w:type="spellEnd"/>
      <w:r>
        <w:rPr>
          <w:rFonts w:ascii="Times New Roman" w:eastAsia="Times New Roman" w:hAnsi="Times New Roman" w:cs="Times New Roman"/>
          <w:sz w:val="24"/>
          <w:szCs w:val="24"/>
          <w:lang w:eastAsia="ar-SA"/>
        </w:rPr>
        <w:t xml:space="preserve"> даних про територію, адміністративно-територіальну одиницю, екологічні, інженерно-геологічні умови; інформаційних ресурсів державних будівельних норм, стандартів і правил для задоволення інформаційних потреб у плануванні території та будівництві, що дозволить реалізувати схему планування території сільської ради та стратегію розвитку області, закладену на певний термін.</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textAlignment w:val="baseline"/>
        <w:rPr>
          <w:rFonts w:ascii="Times New Roman" w:eastAsia="Times New Roman" w:hAnsi="Times New Roman" w:cs="Times New Roman"/>
          <w:color w:val="000000"/>
          <w:sz w:val="24"/>
          <w:szCs w:val="24"/>
          <w:lang w:eastAsia="ar-SA"/>
        </w:rPr>
      </w:pPr>
    </w:p>
    <w:p w:rsidR="00367ABE" w:rsidRDefault="00367ABE" w:rsidP="00367ABE">
      <w:pPr>
        <w:shd w:val="clear" w:color="auto" w:fill="FFFFFF"/>
        <w:suppressAutoHyphens/>
        <w:spacing w:before="120" w:after="120"/>
        <w:jc w:val="center"/>
        <w:rPr>
          <w:rFonts w:ascii="Times New Roman" w:eastAsia="Times New Roman" w:hAnsi="Times New Roman" w:cs="Times New Roman"/>
          <w:sz w:val="24"/>
          <w:szCs w:val="24"/>
          <w:lang w:eastAsia="ar-SA"/>
        </w:rPr>
      </w:pPr>
      <w:r>
        <w:rPr>
          <w:rFonts w:ascii="Times New Roman" w:eastAsia="Times New Roman" w:hAnsi="Times New Roman" w:cs="Times New Roman"/>
          <w:b/>
          <w:bCs/>
          <w:color w:val="000000"/>
          <w:sz w:val="24"/>
          <w:szCs w:val="24"/>
          <w:lang w:eastAsia="ar-SA"/>
        </w:rPr>
        <w:t>2. Мета програми</w:t>
      </w:r>
    </w:p>
    <w:p w:rsidR="00367ABE" w:rsidRDefault="00367ABE" w:rsidP="00367ABE">
      <w:pPr>
        <w:shd w:val="clear" w:color="auto" w:fill="FFFFFF"/>
        <w:suppressAutoHyphens/>
        <w:spacing w:before="120"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Метою Програми є послідовне, протягом 2020-2024 років, розроблення містобудівної, землевпорядної документації, забезпечення функціонування служби містобудівного кадастру та розвиток земельних відносин. Оновлення картографічної основи як набори профільних </w:t>
      </w:r>
      <w:proofErr w:type="spellStart"/>
      <w:r>
        <w:rPr>
          <w:rFonts w:ascii="Times New Roman" w:eastAsia="Times New Roman" w:hAnsi="Times New Roman" w:cs="Times New Roman"/>
          <w:sz w:val="24"/>
          <w:szCs w:val="24"/>
          <w:lang w:eastAsia="ar-SA"/>
        </w:rPr>
        <w:t>геопросторових</w:t>
      </w:r>
      <w:proofErr w:type="spellEnd"/>
      <w:r>
        <w:rPr>
          <w:rFonts w:ascii="Times New Roman" w:eastAsia="Times New Roman" w:hAnsi="Times New Roman" w:cs="Times New Roman"/>
          <w:sz w:val="24"/>
          <w:szCs w:val="24"/>
          <w:lang w:eastAsia="ar-SA"/>
        </w:rPr>
        <w:t xml:space="preserve"> даних у державній геодезичній системі координат,  для забезпечення сталого розвитку населених пунктів, впровадження діючого механізму стимулювання розвитку області, раціонального використання та охорони земель, створення повноцінного і безпечного життєвого середовища, врахування державних, громадських та приватних інтересів при плануванні, забудові та іншому використанні територій, залучення інвестицій, забезпечення публічного доступу  до матеріалів містобудівної документації.</w:t>
      </w:r>
    </w:p>
    <w:p w:rsidR="00367ABE" w:rsidRDefault="00367ABE" w:rsidP="00367ABE">
      <w:pPr>
        <w:shd w:val="clear" w:color="auto" w:fill="FFFFFF"/>
        <w:suppressAutoHyphens/>
        <w:spacing w:before="120" w:after="0"/>
        <w:jc w:val="both"/>
        <w:rPr>
          <w:rFonts w:ascii="Times New Roman" w:eastAsia="Times New Roman" w:hAnsi="Times New Roman" w:cs="Times New Roman"/>
          <w:b/>
          <w:bCs/>
          <w:i/>
          <w:iCs/>
          <w:sz w:val="24"/>
          <w:szCs w:val="24"/>
          <w:lang w:eastAsia="ar-SA"/>
        </w:rPr>
      </w:pP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sz w:val="24"/>
          <w:szCs w:val="24"/>
          <w:lang w:eastAsia="ar-SA"/>
        </w:rPr>
        <w:tab/>
      </w:r>
      <w:r>
        <w:rPr>
          <w:rFonts w:ascii="Times New Roman" w:eastAsia="Times New Roman" w:hAnsi="Times New Roman" w:cs="Times New Roman"/>
          <w:color w:val="FF6600"/>
          <w:sz w:val="24"/>
          <w:szCs w:val="24"/>
          <w:lang w:eastAsia="ar-SA"/>
        </w:rPr>
        <w:tab/>
      </w:r>
      <w:r>
        <w:rPr>
          <w:rFonts w:ascii="Times New Roman" w:eastAsia="Times New Roman" w:hAnsi="Times New Roman" w:cs="Times New Roman"/>
          <w:b/>
          <w:sz w:val="24"/>
          <w:szCs w:val="24"/>
          <w:lang w:eastAsia="ar-SA"/>
        </w:rPr>
        <w:t>3. Перелік завдань і заходів програми</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b/>
          <w:bCs/>
          <w:i/>
          <w:iCs/>
          <w:sz w:val="24"/>
          <w:szCs w:val="24"/>
          <w:lang w:eastAsia="ar-SA"/>
        </w:rPr>
        <w:t>Реалізація Програми передбачає</w:t>
      </w:r>
      <w:r>
        <w:rPr>
          <w:rFonts w:ascii="Times New Roman" w:eastAsia="Times New Roman" w:hAnsi="Times New Roman" w:cs="Times New Roman"/>
          <w:b/>
          <w:bCs/>
          <w:sz w:val="24"/>
          <w:szCs w:val="24"/>
          <w:lang w:eastAsia="ar-SA"/>
        </w:rPr>
        <w:t>:</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розроблення схем планування території сільської ради, схем планування  окремих територій із врахуванням положень схеми планування території сільської ради;</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розроблення генеральних планів населених пунктів;</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розроблення планів зонування населених пунктів;</w:t>
      </w:r>
    </w:p>
    <w:p w:rsidR="00367ABE" w:rsidRDefault="00367ABE" w:rsidP="00367AB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розроблення детальних планів територій;                         </w:t>
      </w:r>
    </w:p>
    <w:p w:rsidR="00367ABE" w:rsidRDefault="00367ABE" w:rsidP="00367ABE">
      <w:pPr>
        <w:suppressAutoHyphens/>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sz w:val="24"/>
          <w:szCs w:val="24"/>
          <w:lang w:eastAsia="ar-SA"/>
        </w:rPr>
        <w:t xml:space="preserve">- виготовлення та  </w:t>
      </w:r>
      <w:r>
        <w:rPr>
          <w:rFonts w:ascii="Times New Roman" w:eastAsia="Times New Roman" w:hAnsi="Times New Roman" w:cs="Times New Roman"/>
          <w:color w:val="000000"/>
          <w:sz w:val="24"/>
          <w:szCs w:val="24"/>
          <w:lang w:eastAsia="ar-SA"/>
        </w:rPr>
        <w:t>актуалізація картографічної  основи в цифровій формі як просторово орієнтована інформація  в  державній  системі координат  УСК-2000 на   паперових   і електронних носіях;</w:t>
      </w:r>
    </w:p>
    <w:p w:rsidR="00367ABE" w:rsidRDefault="00367ABE" w:rsidP="00367ABE">
      <w:pPr>
        <w:suppressAutoHyphens/>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розроблення планів  земельно-господарського  устрою;</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sz w:val="24"/>
          <w:szCs w:val="24"/>
          <w:lang w:eastAsia="ar-SA"/>
        </w:rPr>
        <w:t>виготовлення проектів землеустрою   щодо  встановлення  (зміни)  меж</w:t>
      </w:r>
    </w:p>
    <w:p w:rsidR="00367ABE" w:rsidRDefault="00367ABE" w:rsidP="00367ABE">
      <w:pPr>
        <w:suppressAutoHyphens/>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sz w:val="24"/>
          <w:szCs w:val="24"/>
          <w:lang w:eastAsia="ar-SA"/>
        </w:rPr>
        <w:t xml:space="preserve">   населених пунктів;</w:t>
      </w:r>
    </w:p>
    <w:p w:rsidR="00367ABE" w:rsidRDefault="00367ABE" w:rsidP="00367ABE">
      <w:pPr>
        <w:suppressAutoHyphens/>
        <w:spacing w:after="0"/>
        <w:jc w:val="both"/>
        <w:rPr>
          <w:rFonts w:ascii="Times New Roman" w:eastAsia="Times New Roman" w:hAnsi="Times New Roman" w:cs="Times New Roman"/>
          <w:color w:val="000000"/>
          <w:sz w:val="24"/>
          <w:szCs w:val="24"/>
          <w:lang w:eastAsia="ar-SA"/>
        </w:rPr>
      </w:pPr>
      <w:r>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sz w:val="24"/>
          <w:szCs w:val="24"/>
          <w:lang w:eastAsia="ar-SA"/>
        </w:rPr>
        <w:t xml:space="preserve">проведення робіт із інвентаризації земель;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color w:val="000000"/>
          <w:sz w:val="24"/>
          <w:szCs w:val="24"/>
          <w:lang w:eastAsia="ar-SA"/>
        </w:rPr>
        <w:t xml:space="preserve">– </w:t>
      </w:r>
      <w:r>
        <w:rPr>
          <w:rFonts w:ascii="Times New Roman" w:eastAsia="Times New Roman" w:hAnsi="Times New Roman" w:cs="Times New Roman"/>
          <w:sz w:val="24"/>
          <w:szCs w:val="24"/>
          <w:lang w:eastAsia="ar-SA"/>
        </w:rPr>
        <w:t>проведення нормативної грошової оцінки земель.</w:t>
      </w:r>
    </w:p>
    <w:p w:rsidR="00367ABE" w:rsidRDefault="00367ABE" w:rsidP="00367ABE">
      <w:pPr>
        <w:suppressAutoHyphens/>
        <w:spacing w:after="0"/>
        <w:ind w:firstLine="708"/>
        <w:jc w:val="both"/>
        <w:rPr>
          <w:rFonts w:ascii="Times New Roman" w:eastAsia="Times New Roman" w:hAnsi="Times New Roman" w:cs="Times New Roman"/>
          <w:sz w:val="24"/>
          <w:szCs w:val="24"/>
          <w:lang w:eastAsia="ar-SA"/>
        </w:rPr>
      </w:pP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b/>
          <w:bCs/>
          <w:i/>
          <w:iCs/>
          <w:sz w:val="24"/>
          <w:szCs w:val="24"/>
          <w:lang w:eastAsia="ar-SA"/>
        </w:rPr>
        <w:t xml:space="preserve">Основними завданнями Програми є: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  забезпечення  територій актуальною містобудівною документацією шляхом розроблення  генеральних  планів та іншої документації.</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забезпечення перспективи розвитку населених пунктів шляхом розроблення проектів землеустрою  щодо зміни меж населених пунктів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урахування державних, громадських і приватних інтересів під час планування, забудови та іншого використання територій;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обґрунтування розподілу земель за цільовим призначенням та використання територій для містобудівних потреб;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забезпечення раціонального розселення і визначення напрямів сталого розвитку населеного пункту;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визначення і раціональне розташування територій житлової та громадської забудови, промислових, рекреаційних, природоохоронних, оздоровчих, історико-культурних та інших територій і об’єктів;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обґрунтування та встановлення режиму раціонального використання земель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визначення, вилучення (викуп) і надання земельних ділянок для містобудівних потреб на основі містобудівної документації в межах, визначених законом;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визначення територій, що мають особливу екологічну, наукову, естетичну, історико-культурну цінність, встановлення передбачених законодавством обмежень на їх планування, забудову та інше використання;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охорона довкілля та раціональне використання природних ресурсів;</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регулювання забудови сіл та інших територій;</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проведення інвентаризації земель та проведення нормативної грошової оцінки земель населених пунктів;</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забезпечення функціонування містобудівного кадастру.</w:t>
      </w:r>
    </w:p>
    <w:p w:rsidR="00367ABE" w:rsidRDefault="00367ABE" w:rsidP="00367ABE">
      <w:pPr>
        <w:suppressAutoHyphens/>
        <w:spacing w:after="0"/>
        <w:jc w:val="both"/>
        <w:rPr>
          <w:rFonts w:ascii="Times New Roman" w:eastAsia="Times New Roman" w:hAnsi="Times New Roman" w:cs="Times New Roman"/>
          <w:b/>
          <w:sz w:val="24"/>
          <w:szCs w:val="24"/>
          <w:lang w:eastAsia="ar-SA"/>
        </w:rPr>
      </w:pPr>
      <w:r>
        <w:rPr>
          <w:rFonts w:ascii="Times New Roman" w:eastAsia="Times New Roman" w:hAnsi="Times New Roman" w:cs="Times New Roman"/>
          <w:sz w:val="24"/>
          <w:szCs w:val="24"/>
          <w:lang w:eastAsia="ar-SA"/>
        </w:rPr>
        <w:tab/>
      </w:r>
    </w:p>
    <w:p w:rsidR="00367ABE" w:rsidRDefault="00367ABE" w:rsidP="00367ABE">
      <w:pPr>
        <w:suppressAutoHyphens/>
        <w:spacing w:after="0"/>
        <w:ind w:firstLine="426"/>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 Обґрунтування шляхів і засобів розв’язання проблеми</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Пріоритети у розробленні містобудівної та землевпорядної   документації будуть надаватися:</w:t>
      </w:r>
    </w:p>
    <w:p w:rsidR="00367ABE" w:rsidRDefault="00367ABE" w:rsidP="00367ABE">
      <w:pPr>
        <w:numPr>
          <w:ilvl w:val="0"/>
          <w:numId w:val="2"/>
        </w:numPr>
        <w:tabs>
          <w:tab w:val="clear" w:pos="0"/>
          <w:tab w:val="num" w:pos="720"/>
        </w:tabs>
        <w:suppressAutoHyphens/>
        <w:spacing w:after="0"/>
        <w:ind w:left="720" w:hanging="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територіям із найменшим відсотком наявної розробленої містобудівної документації;</w:t>
      </w:r>
    </w:p>
    <w:p w:rsidR="00367ABE" w:rsidRDefault="00367ABE" w:rsidP="00367ABE">
      <w:pPr>
        <w:numPr>
          <w:ilvl w:val="0"/>
          <w:numId w:val="2"/>
        </w:numPr>
        <w:tabs>
          <w:tab w:val="clear" w:pos="0"/>
          <w:tab w:val="num" w:pos="720"/>
        </w:tabs>
        <w:suppressAutoHyphens/>
        <w:spacing w:after="0"/>
        <w:ind w:left="720" w:hanging="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населеним пунктам, де передбачається розташування інвестиційних об’єктів (індустріальні парки, об’єкти промисловості, об’єкти, які фінансуються із міжнародних фондів та позабюджетних джерел фінансування);</w:t>
      </w:r>
    </w:p>
    <w:p w:rsidR="00367ABE" w:rsidRDefault="00367ABE" w:rsidP="00367ABE">
      <w:pPr>
        <w:numPr>
          <w:ilvl w:val="0"/>
          <w:numId w:val="1"/>
        </w:numPr>
        <w:tabs>
          <w:tab w:val="clear" w:pos="0"/>
          <w:tab w:val="num" w:pos="720"/>
        </w:tabs>
        <w:suppressAutoHyphens/>
        <w:spacing w:after="0"/>
        <w:ind w:left="720" w:hanging="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територіям, що забезпечили більший відсоток фінансування з місцевого бюджету ніж передбачено програмою;</w:t>
      </w:r>
    </w:p>
    <w:p w:rsidR="00367ABE" w:rsidRDefault="00367ABE" w:rsidP="00367ABE">
      <w:pPr>
        <w:numPr>
          <w:ilvl w:val="0"/>
          <w:numId w:val="1"/>
        </w:numPr>
        <w:tabs>
          <w:tab w:val="clear" w:pos="0"/>
          <w:tab w:val="num" w:pos="720"/>
        </w:tabs>
        <w:suppressAutoHyphens/>
        <w:spacing w:after="0"/>
        <w:ind w:left="720" w:hanging="36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на завершення розроблення містобудівної документації розпочатої раніше.</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proofErr w:type="spellStart"/>
      <w:r>
        <w:rPr>
          <w:rFonts w:ascii="Times New Roman" w:eastAsia="Times New Roman" w:hAnsi="Times New Roman" w:cs="Times New Roman"/>
          <w:sz w:val="24"/>
          <w:szCs w:val="24"/>
          <w:lang w:eastAsia="ar-SA"/>
        </w:rPr>
        <w:t>Топогеодезичне</w:t>
      </w:r>
      <w:proofErr w:type="spellEnd"/>
      <w:r>
        <w:rPr>
          <w:rFonts w:ascii="Times New Roman" w:eastAsia="Times New Roman" w:hAnsi="Times New Roman" w:cs="Times New Roman"/>
          <w:sz w:val="24"/>
          <w:szCs w:val="24"/>
          <w:lang w:eastAsia="ar-SA"/>
        </w:rPr>
        <w:t xml:space="preserve"> знімання виконується  виключно для містобудівної документації передбаченої уточненими показниками програми.</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lastRenderedPageBreak/>
        <w:tab/>
        <w:t>Проекти землеустрою  щодо зміни меж населеного пункту розробляються виключно для населених пунктів, розроблення генеральних планів яких передбачено уточненими показниками програми.</w:t>
      </w:r>
    </w:p>
    <w:p w:rsidR="00367ABE" w:rsidRDefault="00367ABE" w:rsidP="00367ABE">
      <w:pPr>
        <w:suppressAutoHyphens/>
        <w:spacing w:after="0"/>
        <w:ind w:firstLine="70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Обов’язковість проведення нормативної грошової оцінки земель передбачено статтею 13 Закону України </w:t>
      </w:r>
      <w:proofErr w:type="spellStart"/>
      <w:r>
        <w:rPr>
          <w:rFonts w:ascii="Times New Roman" w:eastAsia="Times New Roman" w:hAnsi="Times New Roman" w:cs="Times New Roman"/>
          <w:sz w:val="24"/>
          <w:szCs w:val="24"/>
          <w:lang w:eastAsia="ar-SA"/>
        </w:rPr>
        <w:t>“Про</w:t>
      </w:r>
      <w:proofErr w:type="spellEnd"/>
      <w:r>
        <w:rPr>
          <w:rFonts w:ascii="Times New Roman" w:eastAsia="Times New Roman" w:hAnsi="Times New Roman" w:cs="Times New Roman"/>
          <w:sz w:val="24"/>
          <w:szCs w:val="24"/>
          <w:lang w:eastAsia="ar-SA"/>
        </w:rPr>
        <w:t xml:space="preserve"> оцінку </w:t>
      </w:r>
      <w:proofErr w:type="spellStart"/>
      <w:r>
        <w:rPr>
          <w:rFonts w:ascii="Times New Roman" w:eastAsia="Times New Roman" w:hAnsi="Times New Roman" w:cs="Times New Roman"/>
          <w:sz w:val="24"/>
          <w:szCs w:val="24"/>
          <w:lang w:eastAsia="ar-SA"/>
        </w:rPr>
        <w:t>земель”</w:t>
      </w:r>
      <w:proofErr w:type="spellEnd"/>
      <w:r>
        <w:rPr>
          <w:rFonts w:ascii="Times New Roman" w:eastAsia="Times New Roman" w:hAnsi="Times New Roman" w:cs="Times New Roman"/>
          <w:sz w:val="24"/>
          <w:szCs w:val="24"/>
          <w:lang w:eastAsia="ar-SA"/>
        </w:rPr>
        <w:t>, а періодичність її проведення – щонайменш один раз на 5–7 років .</w:t>
      </w:r>
    </w:p>
    <w:p w:rsidR="00367ABE" w:rsidRDefault="00367ABE" w:rsidP="00367ABE">
      <w:pPr>
        <w:suppressAutoHyphens/>
        <w:spacing w:after="0"/>
        <w:ind w:firstLine="700"/>
        <w:jc w:val="both"/>
        <w:rPr>
          <w:rFonts w:ascii="Times New Roman" w:eastAsia="Times New Roman" w:hAnsi="Times New Roman" w:cs="Times New Roman"/>
          <w:sz w:val="24"/>
          <w:szCs w:val="24"/>
          <w:lang w:eastAsia="ar-SA"/>
        </w:rPr>
      </w:pPr>
    </w:p>
    <w:p w:rsidR="00367ABE" w:rsidRDefault="00367ABE" w:rsidP="00367ABE">
      <w:pPr>
        <w:shd w:val="clear" w:color="auto" w:fill="FFFFFF"/>
        <w:suppressAutoHyphens/>
        <w:spacing w:after="0"/>
        <w:ind w:right="48" w:firstLine="426"/>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 xml:space="preserve"> 5.  Обсяги та джерела фінансування заходів програми.</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Фінансування Програми здійснюватиметься за рахунок місцевого бюджету, місцевих бюджетів та інших джерел незаборонених законом.</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Обсяги фінансування Програми на відповідний бюджетний період визначаються при формуванні місцевого бюджету з урахуванням їх реальних можливостей.</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Уточнені показники програми формуються при наявності рішення про бюджет, де включені видатки на розроблення  містобудівної та землевпорядної документації.</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Ведення містобудівного кадастру фінансується відповідно до укладених договорів.</w:t>
      </w:r>
    </w:p>
    <w:p w:rsidR="00367ABE" w:rsidRDefault="00367ABE" w:rsidP="00367ABE">
      <w:pPr>
        <w:suppressAutoHyphens/>
        <w:spacing w:after="0"/>
        <w:ind w:firstLine="426"/>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Дійсна вартість проектно-вишукувальних робіт у кожному конкретному випадку буде встановлюватися проектною сертифікованою установою та замовником із урахуванням усіх особливостей та факторів, обумовлених станом розвитку, потреби в територіях населеного пункту або території на час виготовлення містобудівної документації. </w:t>
      </w:r>
    </w:p>
    <w:p w:rsidR="00367ABE" w:rsidRDefault="00367ABE" w:rsidP="00367ABE">
      <w:pPr>
        <w:suppressAutoHyphens/>
        <w:spacing w:after="0"/>
        <w:jc w:val="both"/>
        <w:rPr>
          <w:rFonts w:ascii="Times New Roman" w:eastAsia="Times New Roman" w:hAnsi="Times New Roman" w:cs="Times New Roman"/>
          <w:caps/>
          <w:sz w:val="24"/>
          <w:szCs w:val="24"/>
          <w:lang w:eastAsia="ar-SA"/>
        </w:rPr>
      </w:pPr>
      <w:r>
        <w:rPr>
          <w:rFonts w:ascii="Times New Roman" w:eastAsia="Times New Roman" w:hAnsi="Times New Roman" w:cs="Times New Roman"/>
          <w:sz w:val="24"/>
          <w:szCs w:val="24"/>
          <w:lang w:eastAsia="ar-SA"/>
        </w:rPr>
        <w:t xml:space="preserve">      Складання і подання фінансової звітності про використання коштів здійснюється в установленому законодавством порядку. </w:t>
      </w:r>
    </w:p>
    <w:p w:rsidR="00367ABE" w:rsidRDefault="00367ABE" w:rsidP="00367ABE">
      <w:pPr>
        <w:shd w:val="clear" w:color="auto" w:fill="FFFFFF"/>
        <w:tabs>
          <w:tab w:val="left" w:pos="720"/>
          <w:tab w:val="left" w:pos="1080"/>
          <w:tab w:val="left" w:pos="1440"/>
        </w:tabs>
        <w:suppressAutoHyphens/>
        <w:spacing w:after="0"/>
        <w:ind w:right="6"/>
        <w:jc w:val="both"/>
        <w:rPr>
          <w:rFonts w:ascii="Times New Roman" w:eastAsia="Times New Roman" w:hAnsi="Times New Roman" w:cs="Times New Roman"/>
          <w:sz w:val="24"/>
          <w:szCs w:val="24"/>
          <w:lang w:eastAsia="ar-SA"/>
        </w:rPr>
      </w:pPr>
    </w:p>
    <w:p w:rsidR="00367ABE" w:rsidRDefault="00367ABE" w:rsidP="00367ABE">
      <w:pPr>
        <w:suppressAutoHyphens/>
        <w:spacing w:after="0"/>
        <w:jc w:val="center"/>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6. Очікуваний результат</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t xml:space="preserve">У результаті виконання заходів Програми вирішуються питання ефективного планування територій, розвитку інфраструктури населених пунктів, житлового будівництва, об’єктів підприємницької діяльності та побутового обслуговування, розвитку інженерної інфраструктури, забезпечення доступності до матеріалів містобудівної документації, забезпечення розвитку територій шляхом зміни меж населених пунктів, що збільшить інвестиційні вкладення у  розвиток  населених  пунктів,    розвитку </w:t>
      </w:r>
    </w:p>
    <w:p w:rsidR="00367ABE" w:rsidRDefault="00367ABE" w:rsidP="00367ABE">
      <w:pPr>
        <w:suppressAutoHyphens/>
        <w:spacing w:after="0"/>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земельних відносин, раціонального використання і охорони земельних ресурсів, ефективного і  об’єктивного оподаткування та наповнення місцевого бюджету.</w:t>
      </w:r>
    </w:p>
    <w:p w:rsidR="00367ABE" w:rsidRDefault="00367ABE" w:rsidP="00367ABE">
      <w:pPr>
        <w:suppressAutoHyphens/>
        <w:spacing w:after="0"/>
        <w:jc w:val="both"/>
        <w:rPr>
          <w:rFonts w:ascii="Times New Roman" w:eastAsia="Times New Roman" w:hAnsi="Times New Roman" w:cs="Times New Roman"/>
          <w:sz w:val="24"/>
          <w:szCs w:val="24"/>
          <w:lang w:eastAsia="ar-SA"/>
        </w:rPr>
      </w:pPr>
    </w:p>
    <w:p w:rsidR="00367ABE" w:rsidRDefault="00367ABE" w:rsidP="00367ABE">
      <w:pPr>
        <w:suppressAutoHyphens/>
        <w:spacing w:after="0"/>
        <w:ind w:right="-370"/>
        <w:rPr>
          <w:rFonts w:ascii="Times New Roman" w:eastAsia="Times New Roman" w:hAnsi="Times New Roman" w:cs="Times New Roman"/>
          <w:b/>
          <w:sz w:val="24"/>
          <w:szCs w:val="24"/>
          <w:lang w:eastAsia="ar-SA"/>
        </w:rPr>
      </w:pPr>
    </w:p>
    <w:p w:rsidR="00367ABE" w:rsidRDefault="00367ABE" w:rsidP="00367ABE">
      <w:pPr>
        <w:suppressAutoHyphens/>
        <w:spacing w:after="0"/>
        <w:ind w:right="-370"/>
        <w:rPr>
          <w:rFonts w:ascii="Times New Roman" w:eastAsia="Times New Roman" w:hAnsi="Times New Roman" w:cs="Times New Roman"/>
          <w:b/>
          <w:sz w:val="24"/>
          <w:szCs w:val="24"/>
          <w:lang w:eastAsia="ar-SA"/>
        </w:rPr>
      </w:pPr>
    </w:p>
    <w:p w:rsidR="00367ABE" w:rsidRDefault="00367ABE" w:rsidP="00367ABE">
      <w:pPr>
        <w:suppressAutoHyphens/>
        <w:spacing w:after="0"/>
        <w:ind w:right="-370"/>
        <w:rPr>
          <w:rFonts w:ascii="Times New Roman" w:eastAsia="Times New Roman" w:hAnsi="Times New Roman" w:cs="Times New Roman"/>
          <w:b/>
          <w:sz w:val="24"/>
          <w:szCs w:val="24"/>
          <w:lang w:eastAsia="ar-SA"/>
        </w:rPr>
      </w:pPr>
    </w:p>
    <w:p w:rsidR="00367ABE" w:rsidRPr="0077709F" w:rsidRDefault="00367ABE" w:rsidP="00367ABE">
      <w:pPr>
        <w:suppressAutoHyphens/>
        <w:spacing w:after="0"/>
        <w:ind w:right="-370"/>
        <w:rPr>
          <w:rFonts w:ascii="Times New Roman" w:eastAsia="Times New Roman" w:hAnsi="Times New Roman" w:cs="Times New Roman"/>
          <w:sz w:val="24"/>
          <w:szCs w:val="24"/>
          <w:lang w:eastAsia="ar-SA"/>
        </w:rPr>
      </w:pPr>
      <w:r w:rsidRPr="0077709F">
        <w:rPr>
          <w:rFonts w:ascii="Times New Roman" w:eastAsia="Times New Roman" w:hAnsi="Times New Roman" w:cs="Times New Roman"/>
          <w:sz w:val="24"/>
          <w:szCs w:val="24"/>
          <w:lang w:eastAsia="ar-SA"/>
        </w:rPr>
        <w:t xml:space="preserve">Сільський голова                                              </w:t>
      </w:r>
      <w:r>
        <w:rPr>
          <w:rFonts w:ascii="Times New Roman" w:eastAsia="Times New Roman" w:hAnsi="Times New Roman" w:cs="Times New Roman"/>
          <w:sz w:val="24"/>
          <w:szCs w:val="24"/>
          <w:lang w:eastAsia="ar-SA"/>
        </w:rPr>
        <w:t xml:space="preserve">                                                </w:t>
      </w:r>
      <w:r w:rsidRPr="0077709F">
        <w:rPr>
          <w:rFonts w:ascii="Times New Roman" w:eastAsia="Times New Roman" w:hAnsi="Times New Roman" w:cs="Times New Roman"/>
          <w:sz w:val="24"/>
          <w:szCs w:val="24"/>
          <w:lang w:eastAsia="ar-SA"/>
        </w:rPr>
        <w:t xml:space="preserve">  В.А.</w:t>
      </w:r>
      <w:proofErr w:type="spellStart"/>
      <w:r w:rsidRPr="0077709F">
        <w:rPr>
          <w:rFonts w:ascii="Times New Roman" w:eastAsia="Times New Roman" w:hAnsi="Times New Roman" w:cs="Times New Roman"/>
          <w:sz w:val="24"/>
          <w:szCs w:val="24"/>
          <w:lang w:eastAsia="ar-SA"/>
        </w:rPr>
        <w:t>Михалюк</w:t>
      </w:r>
      <w:proofErr w:type="spellEnd"/>
    </w:p>
    <w:p w:rsidR="00AE37FD" w:rsidRDefault="00AE37FD"/>
    <w:sectPr w:rsidR="00AE37FD" w:rsidSect="00AE37F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9" w:rsidRDefault="00EE614D" w:rsidP="00BA237D">
    <w:pPr>
      <w:pStyle w:val="af4"/>
      <w:framePr w:wrap="around" w:vAnchor="text" w:hAnchor="margin" w:xAlign="right" w:y="1"/>
      <w:rPr>
        <w:rStyle w:val="af8"/>
      </w:rPr>
    </w:pPr>
    <w:r>
      <w:rPr>
        <w:rStyle w:val="af8"/>
      </w:rPr>
      <w:fldChar w:fldCharType="begin"/>
    </w:r>
    <w:r>
      <w:rPr>
        <w:rStyle w:val="af8"/>
      </w:rPr>
      <w:instrText xml:space="preserve">PAGE  </w:instrText>
    </w:r>
    <w:r>
      <w:rPr>
        <w:rStyle w:val="af8"/>
      </w:rPr>
      <w:fldChar w:fldCharType="end"/>
    </w:r>
  </w:p>
  <w:p w:rsidR="00097DC9" w:rsidRDefault="00EE614D" w:rsidP="00BA237D">
    <w:pP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9" w:rsidRDefault="00EE614D" w:rsidP="00BA237D">
    <w:pPr>
      <w:pStyle w:val="af4"/>
      <w:framePr w:wrap="around" w:vAnchor="text" w:hAnchor="margin" w:xAlign="right" w:y="1"/>
      <w:rPr>
        <w:rStyle w:val="af8"/>
      </w:rPr>
    </w:pPr>
  </w:p>
  <w:p w:rsidR="00097DC9" w:rsidRDefault="00EE614D" w:rsidP="00BA237D">
    <w:pPr>
      <w:ind w:right="360"/>
    </w:pPr>
  </w:p>
  <w:p w:rsidR="00097DC9" w:rsidRDefault="00EE614D" w:rsidP="00BA237D">
    <w:pPr>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9" w:rsidRDefault="00EE614D">
    <w:pPr>
      <w:pStyle w:val="af4"/>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9" w:rsidRDefault="00EE614D">
    <w:pPr>
      <w:pStyle w:val="af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9" w:rsidRDefault="00EE614D">
    <w:pPr>
      <w:pStyle w:val="af6"/>
      <w:jc w:val="center"/>
    </w:pPr>
    <w:r>
      <w:rPr>
        <w:noProof/>
        <w:lang w:val="ru-RU" w:eastAsia="ru-RU"/>
      </w:rPr>
      <w:pict>
        <v:shapetype id="_x0000_t202" coordsize="21600,21600" o:spt="202" path="m,l,21600r21600,l21600,xe">
          <v:stroke joinstyle="miter"/>
          <v:path gradientshapeok="t" o:connecttype="rect"/>
        </v:shapetype>
        <v:shape id="_x0000_s2049" type="#_x0000_t202" style="position:absolute;left:0;text-align:left;margin-left:0;margin-top:.05pt;width:12pt;height:13.75pt;z-index:251658240;visibility:visible;mso-wrap-distance-left:0;mso-wrap-distance-right:0;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" stroked="f">
          <v:fill opacity="0"/>
          <v:textbox inset="0,0,0,0">
            <w:txbxContent>
              <w:p w:rsidR="00097DC9" w:rsidRDefault="00EE614D">
                <w:pPr>
                  <w:pStyle w:val="af6"/>
                </w:pPr>
              </w:p>
            </w:txbxContent>
          </v:textbox>
          <w10:wrap type="square" side="largest" anchorx="margin"/>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97DC9" w:rsidRDefault="00EE614D">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hdrShapeDefaults>
    <o:shapedefaults v:ext="edit" spidmax="3074"/>
    <o:shapelayout v:ext="edit">
      <o:idmap v:ext="edit" data="2"/>
    </o:shapelayout>
  </w:hdrShapeDefaults>
  <w:compat>
    <w:useFELayout/>
  </w:compat>
  <w:rsids>
    <w:rsidRoot w:val="00367ABE"/>
    <w:rsid w:val="00171A2E"/>
    <w:rsid w:val="00304C90"/>
    <w:rsid w:val="00367ABE"/>
    <w:rsid w:val="00505B6D"/>
    <w:rsid w:val="006D3977"/>
    <w:rsid w:val="007D6C18"/>
    <w:rsid w:val="00AE37FD"/>
    <w:rsid w:val="00D1641A"/>
    <w:rsid w:val="00EE614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ABE"/>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 w:type="paragraph" w:styleId="af4">
    <w:name w:val="footer"/>
    <w:basedOn w:val="a"/>
    <w:link w:val="af5"/>
    <w:uiPriority w:val="99"/>
    <w:rsid w:val="00367ABE"/>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5">
    <w:name w:val="Нижний колонтитул Знак"/>
    <w:basedOn w:val="a0"/>
    <w:link w:val="af4"/>
    <w:uiPriority w:val="99"/>
    <w:rsid w:val="00367ABE"/>
    <w:rPr>
      <w:rFonts w:ascii="Times New Roman" w:eastAsia="Times New Roman" w:hAnsi="Times New Roman" w:cs="Times New Roman"/>
      <w:sz w:val="24"/>
      <w:szCs w:val="24"/>
      <w:lang w:val="uk-UA" w:eastAsia="ru-RU" w:bidi="ar-SA"/>
    </w:rPr>
  </w:style>
  <w:style w:type="paragraph" w:styleId="af6">
    <w:name w:val="header"/>
    <w:basedOn w:val="a"/>
    <w:link w:val="af7"/>
    <w:uiPriority w:val="99"/>
    <w:unhideWhenUsed/>
    <w:rsid w:val="00367ABE"/>
    <w:pPr>
      <w:tabs>
        <w:tab w:val="center" w:pos="4677"/>
        <w:tab w:val="right" w:pos="9355"/>
      </w:tabs>
      <w:spacing w:after="0" w:line="240" w:lineRule="auto"/>
    </w:pPr>
    <w:rPr>
      <w:rFonts w:ascii="Calibri" w:eastAsia="Times New Roman" w:hAnsi="Calibri" w:cs="Times New Roman"/>
    </w:rPr>
  </w:style>
  <w:style w:type="character" w:customStyle="1" w:styleId="af7">
    <w:name w:val="Верхний колонтитул Знак"/>
    <w:basedOn w:val="a0"/>
    <w:link w:val="af6"/>
    <w:uiPriority w:val="99"/>
    <w:rsid w:val="00367ABE"/>
    <w:rPr>
      <w:rFonts w:ascii="Calibri" w:eastAsia="Times New Roman" w:hAnsi="Calibri" w:cs="Times New Roman"/>
      <w:lang w:val="uk-UA" w:eastAsia="uk-UA" w:bidi="ar-SA"/>
    </w:rPr>
  </w:style>
  <w:style w:type="character" w:styleId="af8">
    <w:name w:val="page number"/>
    <w:basedOn w:val="a0"/>
    <w:rsid w:val="00367ABE"/>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11" Type="http://schemas.openxmlformats.org/officeDocument/2006/relationships/fontTable" Target="fontTable.xml"/><Relationship Id="rId5" Type="http://schemas.openxmlformats.org/officeDocument/2006/relationships/header" Target="header1.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6</Pages>
  <Words>2052</Words>
  <Characters>11697</Characters>
  <Application>Microsoft Office Word</Application>
  <DocSecurity>0</DocSecurity>
  <Lines>97</Lines>
  <Paragraphs>27</Paragraphs>
  <ScaleCrop>false</ScaleCrop>
  <Company>Microsoft</Company>
  <LinksUpToDate>false</LinksUpToDate>
  <CharactersWithSpaces>13722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1</cp:revision>
  <dcterms:created xsi:type="dcterms:W3CDTF">2020-01-21T07:16:00Z</dcterms:created>
  <dcterms:modified xsi:type="dcterms:W3CDTF">2020-01-21T07:16:00Z</dcterms:modified>
</cp:coreProperties>
</file>