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17" w:rsidRDefault="00854C17" w:rsidP="00854C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54C17" w:rsidRDefault="00854C17" w:rsidP="00854C17"/>
    <w:p w:rsidR="00854C17" w:rsidRDefault="00854C17" w:rsidP="00854C17"/>
    <w:p w:rsidR="00854C17" w:rsidRDefault="00854C17" w:rsidP="00854C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54C17" w:rsidRDefault="00854C17" w:rsidP="00854C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54C17" w:rsidRDefault="00854C17" w:rsidP="00854C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54C17" w:rsidRDefault="00854C17" w:rsidP="00854C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54C17" w:rsidRDefault="00854C17" w:rsidP="00854C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C17" w:rsidRDefault="00854C17" w:rsidP="00854C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54C17" w:rsidRDefault="00854C17" w:rsidP="00854C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4C17" w:rsidRDefault="00854C17" w:rsidP="00854C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54C17" w:rsidRPr="00FB0CD9" w:rsidRDefault="00854C17" w:rsidP="00854C1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№101</w:t>
      </w:r>
    </w:p>
    <w:p w:rsidR="00854C17" w:rsidRPr="003413AE" w:rsidRDefault="00854C17" w:rsidP="00854C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>прийняття</w:t>
      </w:r>
      <w:proofErr w:type="spellEnd"/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413AE">
        <w:rPr>
          <w:rFonts w:ascii="Times New Roman" w:hAnsi="Times New Roman" w:cs="Times New Roman"/>
          <w:b/>
          <w:color w:val="000000"/>
          <w:kern w:val="32"/>
          <w:sz w:val="24"/>
          <w:szCs w:val="24"/>
        </w:rPr>
        <w:t xml:space="preserve">майна </w:t>
      </w:r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у </w:t>
      </w:r>
      <w:proofErr w:type="spellStart"/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>комунальну</w:t>
      </w:r>
      <w:proofErr w:type="spellEnd"/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3413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854C17" w:rsidRPr="003413AE" w:rsidRDefault="00854C17" w:rsidP="00854C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3413A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до пункту 30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42,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60 Закону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»,  пункту 39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VІ «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Прикінцеві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перехідні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» Бюджетного кодексу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до Бюджетного кодексу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особливостей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бюджетів</w:t>
      </w:r>
      <w:proofErr w:type="spellEnd"/>
      <w:proofErr w:type="gram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громад»,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об’єктів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громад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413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413AE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двадцять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п’ятої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районного ради VІ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2013 року №22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3AE">
        <w:rPr>
          <w:rFonts w:ascii="Times New Roman" w:hAnsi="Times New Roman" w:cs="Times New Roman"/>
          <w:sz w:val="24"/>
          <w:szCs w:val="24"/>
        </w:rPr>
        <w:t xml:space="preserve">-25/2013, </w:t>
      </w:r>
      <w:proofErr w:type="spellStart"/>
      <w:proofErr w:type="gramStart"/>
      <w:r w:rsidRPr="003413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413A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2020 року № 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3A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13AE">
        <w:rPr>
          <w:rFonts w:ascii="Times New Roman" w:hAnsi="Times New Roman" w:cs="Times New Roman"/>
          <w:sz w:val="24"/>
          <w:szCs w:val="24"/>
        </w:rPr>
        <w:t xml:space="preserve">39/2020  «Про передачу майна з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спільної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громад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сіл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району у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комунальну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Берездівської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рад»,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854C17" w:rsidRPr="003413AE" w:rsidRDefault="00854C17" w:rsidP="00854C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3AE">
        <w:rPr>
          <w:rFonts w:ascii="Times New Roman" w:hAnsi="Times New Roman" w:cs="Times New Roman"/>
          <w:sz w:val="24"/>
          <w:szCs w:val="24"/>
        </w:rPr>
        <w:t>ВИРІШИЛА:</w:t>
      </w:r>
    </w:p>
    <w:p w:rsidR="00854C17" w:rsidRPr="003413AE" w:rsidRDefault="00854C17" w:rsidP="00854C17">
      <w:pPr>
        <w:pStyle w:val="HTML0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3413AE">
        <w:rPr>
          <w:rFonts w:ascii="Times New Roman" w:hAnsi="Times New Roman"/>
          <w:sz w:val="24"/>
          <w:szCs w:val="24"/>
          <w:lang w:val="uk-UA"/>
        </w:rPr>
        <w:t xml:space="preserve">Прийняти безоплатно з спільної власності територіальних громад сіл </w:t>
      </w:r>
      <w:proofErr w:type="spellStart"/>
      <w:r w:rsidRPr="003413AE"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 w:rsidRPr="003413AE">
        <w:rPr>
          <w:rFonts w:ascii="Times New Roman" w:hAnsi="Times New Roman"/>
          <w:sz w:val="24"/>
          <w:szCs w:val="24"/>
          <w:lang w:val="uk-UA"/>
        </w:rPr>
        <w:t xml:space="preserve"> району у комунальну власність </w:t>
      </w:r>
      <w:proofErr w:type="spellStart"/>
      <w:r w:rsidRPr="003413AE"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 w:rsidRPr="003413AE">
        <w:rPr>
          <w:rFonts w:ascii="Times New Roman" w:hAnsi="Times New Roman"/>
          <w:sz w:val="24"/>
          <w:szCs w:val="24"/>
          <w:lang w:val="uk-UA"/>
        </w:rPr>
        <w:t xml:space="preserve"> сільської об’єднаної територіальної громади рухоме та нерухоме майно згідно з додатком 1, що додається.</w:t>
      </w:r>
    </w:p>
    <w:p w:rsidR="00854C17" w:rsidRPr="003413AE" w:rsidRDefault="00854C17" w:rsidP="00854C17">
      <w:pPr>
        <w:pStyle w:val="HTML0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3413AE">
        <w:rPr>
          <w:rFonts w:ascii="Times New Roman" w:hAnsi="Times New Roman"/>
          <w:sz w:val="24"/>
          <w:szCs w:val="24"/>
          <w:lang w:val="uk-UA"/>
        </w:rPr>
        <w:t>Утворити комісію з питань приймання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13AE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13AE">
        <w:rPr>
          <w:rFonts w:ascii="Times New Roman" w:hAnsi="Times New Roman"/>
          <w:sz w:val="24"/>
          <w:szCs w:val="24"/>
          <w:lang w:val="uk-UA"/>
        </w:rPr>
        <w:t>передачі майна (далі-Комісія) та затвердити її склад згідно з додатком 2, що додається.</w:t>
      </w:r>
    </w:p>
    <w:p w:rsidR="00854C17" w:rsidRPr="003413AE" w:rsidRDefault="00854C17" w:rsidP="00854C17">
      <w:pPr>
        <w:pStyle w:val="HTML0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3413AE">
        <w:rPr>
          <w:rFonts w:ascii="Times New Roman" w:hAnsi="Times New Roman"/>
          <w:sz w:val="24"/>
          <w:szCs w:val="24"/>
          <w:lang w:val="uk-UA"/>
        </w:rPr>
        <w:t xml:space="preserve">3. Комісії здійснити передачу майна до комунальної власності </w:t>
      </w:r>
      <w:proofErr w:type="spellStart"/>
      <w:r w:rsidRPr="003413AE">
        <w:rPr>
          <w:rFonts w:ascii="Times New Roman" w:hAnsi="Times New Roman"/>
          <w:sz w:val="24"/>
          <w:szCs w:val="24"/>
          <w:lang w:val="uk-UA"/>
        </w:rPr>
        <w:t>Крупецької</w:t>
      </w:r>
      <w:proofErr w:type="spellEnd"/>
      <w:r w:rsidRPr="003413AE">
        <w:rPr>
          <w:rFonts w:ascii="Times New Roman" w:hAnsi="Times New Roman"/>
          <w:sz w:val="24"/>
          <w:szCs w:val="24"/>
          <w:lang w:val="uk-UA"/>
        </w:rPr>
        <w:t xml:space="preserve"> сільської об’єднаної територіальної громади шляхом оформлення відповідних актів-прийому передачі та подати їх на затвердження для сільського голови </w:t>
      </w:r>
      <w:proofErr w:type="spellStart"/>
      <w:r w:rsidRPr="003413AE">
        <w:rPr>
          <w:rFonts w:ascii="Times New Roman" w:hAnsi="Times New Roman"/>
          <w:sz w:val="24"/>
          <w:szCs w:val="24"/>
          <w:lang w:val="uk-UA"/>
        </w:rPr>
        <w:t>Михалюка</w:t>
      </w:r>
      <w:proofErr w:type="spellEnd"/>
      <w:r w:rsidRPr="003413AE">
        <w:rPr>
          <w:rFonts w:ascii="Times New Roman" w:hAnsi="Times New Roman"/>
          <w:sz w:val="24"/>
          <w:szCs w:val="24"/>
          <w:lang w:val="uk-UA"/>
        </w:rPr>
        <w:t xml:space="preserve"> В.А.</w:t>
      </w:r>
    </w:p>
    <w:p w:rsidR="00854C17" w:rsidRPr="003413AE" w:rsidRDefault="00854C17" w:rsidP="00854C17">
      <w:pPr>
        <w:pStyle w:val="HTML0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3413AE">
        <w:rPr>
          <w:rFonts w:ascii="Times New Roman" w:hAnsi="Times New Roman"/>
          <w:sz w:val="24"/>
          <w:szCs w:val="24"/>
          <w:lang w:val="uk-UA"/>
        </w:rPr>
        <w:t>4. Відділу бухгалтерського обліку сільської ради (Нечипорук М.М.) поставити на баланс майно, що підлягає передачі.</w:t>
      </w:r>
    </w:p>
    <w:p w:rsidR="00854C17" w:rsidRDefault="00854C17" w:rsidP="00854C17">
      <w:pPr>
        <w:pStyle w:val="HTML0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  <w:r w:rsidRPr="003413AE">
        <w:rPr>
          <w:rFonts w:ascii="Times New Roman" w:hAnsi="Times New Roman"/>
          <w:sz w:val="24"/>
          <w:szCs w:val="24"/>
          <w:lang w:val="uk-UA"/>
        </w:rPr>
        <w:lastRenderedPageBreak/>
        <w:t xml:space="preserve">5. Контроль за виконанням цього рішення покласти на постійну комісію з питань комунальної власності, </w:t>
      </w:r>
      <w:proofErr w:type="spellStart"/>
      <w:r w:rsidRPr="003413AE">
        <w:rPr>
          <w:rFonts w:ascii="Times New Roman" w:hAnsi="Times New Roman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13AE">
        <w:rPr>
          <w:rFonts w:ascii="Times New Roman" w:hAnsi="Times New Roman"/>
          <w:sz w:val="24"/>
          <w:szCs w:val="24"/>
          <w:lang w:val="uk-UA"/>
        </w:rPr>
        <w:t>-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3413AE">
        <w:rPr>
          <w:rFonts w:ascii="Times New Roman" w:hAnsi="Times New Roman"/>
          <w:sz w:val="24"/>
          <w:szCs w:val="24"/>
          <w:lang w:val="uk-UA"/>
        </w:rPr>
        <w:t>комунального господарства, енергозбереження та транспорту та інфраструктури (</w:t>
      </w:r>
      <w:proofErr w:type="spellStart"/>
      <w:r w:rsidRPr="003413AE">
        <w:rPr>
          <w:rFonts w:ascii="Times New Roman" w:hAnsi="Times New Roman"/>
          <w:sz w:val="24"/>
          <w:szCs w:val="24"/>
          <w:lang w:val="uk-UA"/>
        </w:rPr>
        <w:t>Немец</w:t>
      </w:r>
      <w:proofErr w:type="spellEnd"/>
      <w:r w:rsidRPr="003413AE">
        <w:rPr>
          <w:rFonts w:ascii="Times New Roman" w:hAnsi="Times New Roman"/>
          <w:sz w:val="24"/>
          <w:szCs w:val="24"/>
          <w:lang w:val="uk-UA"/>
        </w:rPr>
        <w:t xml:space="preserve"> В.М.).</w:t>
      </w:r>
    </w:p>
    <w:p w:rsidR="00854C17" w:rsidRDefault="00854C17" w:rsidP="00854C17">
      <w:pPr>
        <w:pStyle w:val="HTML0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54C17" w:rsidRPr="003413AE" w:rsidRDefault="00854C17" w:rsidP="00854C17">
      <w:pPr>
        <w:pStyle w:val="HTML0"/>
        <w:spacing w:line="276" w:lineRule="auto"/>
        <w:ind w:firstLine="426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854C17" w:rsidRPr="003413AE" w:rsidRDefault="00854C17" w:rsidP="00854C17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854C17" w:rsidRPr="005542B8" w:rsidRDefault="00854C17" w:rsidP="00854C17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Секретар сільської ради</w:t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  <w:t xml:space="preserve"> </w:t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  <w:t xml:space="preserve">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    </w:t>
      </w:r>
      <w:r w:rsidRPr="003413AE">
        <w:rPr>
          <w:rFonts w:ascii="Times New Roman" w:hAnsi="Times New Roman"/>
          <w:sz w:val="24"/>
          <w:szCs w:val="24"/>
          <w:lang w:val="uk-UA"/>
        </w:rPr>
        <w:t>В.М. Мазур</w:t>
      </w:r>
    </w:p>
    <w:p w:rsidR="00130987" w:rsidRDefault="00130987" w:rsidP="00854C17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30987" w:rsidRDefault="00130987" w:rsidP="00854C17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130987" w:rsidRDefault="00130987" w:rsidP="00854C17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:rsidR="00854C17" w:rsidRPr="003413AE" w:rsidRDefault="00854C17" w:rsidP="00854C17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413AE">
        <w:rPr>
          <w:rFonts w:ascii="Times New Roman" w:hAnsi="Times New Roman" w:cs="Times New Roman"/>
          <w:bCs/>
          <w:sz w:val="24"/>
          <w:szCs w:val="24"/>
        </w:rPr>
        <w:t>Додаток</w:t>
      </w:r>
      <w:proofErr w:type="spellEnd"/>
      <w:r w:rsidRPr="003413AE">
        <w:rPr>
          <w:rFonts w:ascii="Times New Roman" w:hAnsi="Times New Roman" w:cs="Times New Roman"/>
          <w:bCs/>
          <w:sz w:val="24"/>
          <w:szCs w:val="24"/>
        </w:rPr>
        <w:t xml:space="preserve"> 1</w:t>
      </w:r>
    </w:p>
    <w:p w:rsidR="00854C17" w:rsidRPr="003413AE" w:rsidRDefault="00854C17" w:rsidP="00854C17">
      <w:pPr>
        <w:tabs>
          <w:tab w:val="left" w:pos="708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3413AE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3413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413A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 </w:t>
      </w:r>
      <w:r w:rsidRPr="003413AE">
        <w:rPr>
          <w:rFonts w:ascii="Times New Roman" w:eastAsia="Arial Unicode MS" w:hAnsi="Times New Roman" w:cs="Times New Roman"/>
          <w:color w:val="000000"/>
          <w:sz w:val="24"/>
          <w:szCs w:val="24"/>
        </w:rPr>
        <w:t>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r w:rsidRPr="003413AE">
        <w:rPr>
          <w:rFonts w:ascii="Times New Roman" w:eastAsia="Arial Unicode MS" w:hAnsi="Times New Roman" w:cs="Times New Roman"/>
          <w:color w:val="000000"/>
          <w:sz w:val="24"/>
          <w:szCs w:val="24"/>
        </w:rPr>
        <w:t>VІІ</w:t>
      </w:r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854C17" w:rsidRPr="003413AE" w:rsidRDefault="00854C17" w:rsidP="00854C17">
      <w:pPr>
        <w:tabs>
          <w:tab w:val="left" w:pos="708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24.07</w:t>
      </w:r>
      <w:r w:rsidRPr="003413AE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р. №101</w:t>
      </w:r>
    </w:p>
    <w:p w:rsidR="00854C17" w:rsidRPr="003413AE" w:rsidRDefault="00854C17" w:rsidP="00854C17">
      <w:pPr>
        <w:tabs>
          <w:tab w:val="left" w:pos="708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Перелік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об’єктів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нерухомого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майна,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413AE">
        <w:rPr>
          <w:rFonts w:ascii="Times New Roman" w:hAnsi="Times New Roman" w:cs="Times New Roman"/>
          <w:b/>
          <w:sz w:val="24"/>
          <w:szCs w:val="24"/>
        </w:rPr>
        <w:t>передається</w:t>
      </w:r>
      <w:proofErr w:type="spellEnd"/>
      <w:proofErr w:type="gram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спільної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територіальних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громад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сіл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району в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комунальну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4C17" w:rsidRPr="003413AE" w:rsidRDefault="00854C17" w:rsidP="00854C17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об’єднаної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54C17" w:rsidRPr="003413AE" w:rsidRDefault="00854C17" w:rsidP="00854C17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Нерухоме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та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рухоме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майно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що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знаходиться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за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адресою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вул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. Ярослава Мудрого, буд. 29, м. Славута,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Хмельницька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область.</w:t>
      </w:r>
    </w:p>
    <w:p w:rsidR="00854C17" w:rsidRPr="003413AE" w:rsidRDefault="00854C17" w:rsidP="00854C17">
      <w:pPr>
        <w:tabs>
          <w:tab w:val="left" w:pos="708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76"/>
        <w:gridCol w:w="5304"/>
        <w:gridCol w:w="3196"/>
      </w:tblGrid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майна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(грн.)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між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лікарняної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аптеки № 1077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загальною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площею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1073,6 м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777 341,00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Меблі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аптечні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3 563,00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сушильна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3 814,00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асист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кімнати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2 774,00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асист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кімнати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1 901,00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Обладнання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асист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кімнати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3 260,00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Робоче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хіміка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1 041,00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Шафи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матеріальні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1 224,00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Меблі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аптечні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3 625,00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Меблі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аптечні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1 909,00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Вивіска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аптеки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2 400,00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Меблі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торгового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залу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2 110,00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Жалюзі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вертикальні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1 147,04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Шафи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матеріальні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924,00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інка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590,00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Меблі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бухгалтерські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1 179,00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поліров</w:t>
            </w:r>
            <w:proofErr w:type="spellEnd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лити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2 148,00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Опромінювач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 д/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очищ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1 370,00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Напівавтомат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808,00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Напівавтомат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д/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закр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808,00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Стерилізатор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ВК-75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511,00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Стерилізатор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ВК-75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539,00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«Атлант» у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5 шт.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444,50               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«Атлант» у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10 шт.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1 206,20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бактерицидний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279,00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ітильник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у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кількості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5 шт.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1 000,00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Стелажі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товар,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металеві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2 441,66</w:t>
            </w:r>
          </w:p>
        </w:tc>
      </w:tr>
      <w:tr w:rsidR="00854C17" w:rsidRPr="003413AE" w:rsidTr="00135F9B"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Шафа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металева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850,00</w:t>
            </w:r>
          </w:p>
        </w:tc>
      </w:tr>
    </w:tbl>
    <w:p w:rsidR="00854C17" w:rsidRPr="003413AE" w:rsidRDefault="00854C17" w:rsidP="00854C17">
      <w:pPr>
        <w:tabs>
          <w:tab w:val="left" w:pos="708"/>
        </w:tabs>
        <w:spacing w:after="0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Майно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Старокривинської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амбулаторії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загальної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практики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сімейної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медецини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,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що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знаходиться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за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адресою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вул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. Перемоги, буд. 72, с.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Старий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Кривин,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Славутський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район,  </w:t>
      </w:r>
      <w:proofErr w:type="spellStart"/>
      <w:r w:rsidRPr="003413AE">
        <w:rPr>
          <w:rFonts w:ascii="Times New Roman" w:hAnsi="Times New Roman" w:cs="Times New Roman"/>
          <w:sz w:val="24"/>
          <w:szCs w:val="24"/>
          <w:u w:val="single"/>
        </w:rPr>
        <w:t>Хмельницька</w:t>
      </w:r>
      <w:proofErr w:type="spellEnd"/>
      <w:r w:rsidRPr="003413AE">
        <w:rPr>
          <w:rFonts w:ascii="Times New Roman" w:hAnsi="Times New Roman" w:cs="Times New Roman"/>
          <w:sz w:val="24"/>
          <w:szCs w:val="24"/>
          <w:u w:val="single"/>
        </w:rPr>
        <w:t xml:space="preserve"> область</w:t>
      </w:r>
    </w:p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9"/>
        <w:gridCol w:w="2144"/>
        <w:gridCol w:w="567"/>
        <w:gridCol w:w="630"/>
        <w:gridCol w:w="1558"/>
        <w:gridCol w:w="1317"/>
        <w:gridCol w:w="1315"/>
        <w:gridCol w:w="1241"/>
      </w:tblGrid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</w:p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Площа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Балансова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Знос</w:t>
            </w:r>
            <w:proofErr w:type="spellEnd"/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Огорожа (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стопчики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цегли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секцій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11130222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Споруда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лікарської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амбулаторії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101310024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223919,00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223919,00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101310023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11982,00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11982,00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металева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металевими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стопчиками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101310090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3550,00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3550,00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Насадження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101800012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Криниця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101310075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1284,00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1284,00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Туалет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101310085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54C17" w:rsidRPr="003413AE" w:rsidTr="00135F9B"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Разом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242384,00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242384,00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4C17" w:rsidRPr="003413AE" w:rsidRDefault="00854C17" w:rsidP="00135F9B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</w:r>
      <w:r w:rsidRPr="003413AE">
        <w:rPr>
          <w:rFonts w:ascii="Times New Roman" w:hAnsi="Times New Roman" w:cs="Times New Roman"/>
          <w:sz w:val="24"/>
          <w:szCs w:val="24"/>
        </w:rPr>
        <w:tab/>
        <w:t xml:space="preserve">В.М.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Мазур</w:t>
      </w:r>
      <w:proofErr w:type="spellEnd"/>
    </w:p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54C17" w:rsidRPr="003413AE" w:rsidRDefault="00854C17" w:rsidP="00854C17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3413AE">
        <w:rPr>
          <w:rFonts w:ascii="Times New Roman" w:hAnsi="Times New Roman" w:cs="Times New Roman"/>
          <w:bCs/>
          <w:sz w:val="24"/>
          <w:szCs w:val="24"/>
        </w:rPr>
        <w:t>Додаток</w:t>
      </w:r>
      <w:proofErr w:type="spellEnd"/>
      <w:r w:rsidRPr="003413AE">
        <w:rPr>
          <w:rFonts w:ascii="Times New Roman" w:hAnsi="Times New Roman" w:cs="Times New Roman"/>
          <w:bCs/>
          <w:sz w:val="24"/>
          <w:szCs w:val="24"/>
        </w:rPr>
        <w:t xml:space="preserve"> 2</w:t>
      </w:r>
    </w:p>
    <w:p w:rsidR="00854C17" w:rsidRPr="003413AE" w:rsidRDefault="00854C17" w:rsidP="00854C17">
      <w:pPr>
        <w:tabs>
          <w:tab w:val="left" w:pos="708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3413AE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3413A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413A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 </w:t>
      </w:r>
      <w:r w:rsidRPr="003413AE">
        <w:rPr>
          <w:rFonts w:ascii="Times New Roman" w:eastAsia="Arial Unicode MS" w:hAnsi="Times New Roman" w:cs="Times New Roman"/>
          <w:color w:val="000000"/>
          <w:sz w:val="24"/>
          <w:szCs w:val="24"/>
        </w:rPr>
        <w:t>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r w:rsidRPr="003413AE">
        <w:rPr>
          <w:rFonts w:ascii="Times New Roman" w:eastAsia="Arial Unicode MS" w:hAnsi="Times New Roman" w:cs="Times New Roman"/>
          <w:color w:val="000000"/>
          <w:sz w:val="24"/>
          <w:szCs w:val="24"/>
        </w:rPr>
        <w:t>VІІ</w:t>
      </w:r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413AE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854C17" w:rsidRPr="003413AE" w:rsidRDefault="00854C17" w:rsidP="00854C17">
      <w:pPr>
        <w:tabs>
          <w:tab w:val="left" w:pos="708"/>
        </w:tabs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24.07</w:t>
      </w:r>
      <w:r w:rsidRPr="003413AE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р. №101</w:t>
      </w:r>
    </w:p>
    <w:p w:rsidR="00854C17" w:rsidRPr="003413AE" w:rsidRDefault="00854C17" w:rsidP="00854C17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854C17" w:rsidRPr="003413AE" w:rsidRDefault="00854C17" w:rsidP="00854C17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13AE">
        <w:rPr>
          <w:rFonts w:ascii="Times New Roman" w:hAnsi="Times New Roman" w:cs="Times New Roman"/>
          <w:b/>
          <w:sz w:val="24"/>
          <w:szCs w:val="24"/>
        </w:rPr>
        <w:t>Склад</w:t>
      </w:r>
    </w:p>
    <w:p w:rsidR="00854C17" w:rsidRPr="003413AE" w:rsidRDefault="00854C17" w:rsidP="00854C17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комісії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питань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413AE">
        <w:rPr>
          <w:rFonts w:ascii="Times New Roman" w:hAnsi="Times New Roman" w:cs="Times New Roman"/>
          <w:b/>
          <w:sz w:val="24"/>
          <w:szCs w:val="24"/>
        </w:rPr>
        <w:t>приймання-передачі</w:t>
      </w:r>
      <w:proofErr w:type="spellEnd"/>
      <w:r w:rsidRPr="003413AE">
        <w:rPr>
          <w:rFonts w:ascii="Times New Roman" w:hAnsi="Times New Roman" w:cs="Times New Roman"/>
          <w:b/>
          <w:sz w:val="24"/>
          <w:szCs w:val="24"/>
        </w:rPr>
        <w:t xml:space="preserve"> майна </w:t>
      </w:r>
    </w:p>
    <w:p w:rsidR="00854C17" w:rsidRPr="003413AE" w:rsidRDefault="00854C17" w:rsidP="00854C17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8"/>
        <w:gridCol w:w="6557"/>
      </w:tblGrid>
      <w:tr w:rsidR="00854C17" w:rsidRPr="003413AE" w:rsidTr="00135F9B">
        <w:tc>
          <w:tcPr>
            <w:tcW w:w="3119" w:type="dxa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  <w:proofErr w:type="spellEnd"/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</w:tcPr>
          <w:p w:rsidR="00854C17" w:rsidRPr="003413AE" w:rsidRDefault="00854C17" w:rsidP="00854C17">
            <w:pPr>
              <w:pStyle w:val="af1"/>
              <w:numPr>
                <w:ilvl w:val="0"/>
                <w:numId w:val="2"/>
              </w:numPr>
              <w:spacing w:after="0"/>
              <w:ind w:left="34" w:firstLine="142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органів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, голова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C17" w:rsidRPr="003413AE" w:rsidRDefault="00854C17" w:rsidP="00135F9B">
            <w:pPr>
              <w:pStyle w:val="af1"/>
              <w:spacing w:after="0"/>
              <w:ind w:left="17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54C17" w:rsidRPr="003413AE" w:rsidTr="00135F9B">
        <w:tc>
          <w:tcPr>
            <w:tcW w:w="3119" w:type="dxa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Бондарчук</w:t>
            </w:r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Марина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  <w:proofErr w:type="spellEnd"/>
          </w:p>
        </w:tc>
        <w:tc>
          <w:tcPr>
            <w:tcW w:w="6558" w:type="dxa"/>
            <w:hideMark/>
          </w:tcPr>
          <w:p w:rsidR="00854C17" w:rsidRPr="003413AE" w:rsidRDefault="00854C17" w:rsidP="00854C17">
            <w:pPr>
              <w:pStyle w:val="af1"/>
              <w:numPr>
                <w:ilvl w:val="0"/>
                <w:numId w:val="2"/>
              </w:numPr>
              <w:spacing w:after="0"/>
              <w:ind w:left="3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завідувач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сектору з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комунальної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власності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апарату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, член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згодою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854C17" w:rsidRPr="003413AE" w:rsidTr="00135F9B">
        <w:tc>
          <w:tcPr>
            <w:tcW w:w="3119" w:type="dxa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Гаврилюк </w:t>
            </w:r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італійович</w:t>
            </w:r>
            <w:proofErr w:type="spellEnd"/>
          </w:p>
        </w:tc>
        <w:tc>
          <w:tcPr>
            <w:tcW w:w="6558" w:type="dxa"/>
            <w:hideMark/>
          </w:tcPr>
          <w:p w:rsidR="00854C17" w:rsidRPr="003413AE" w:rsidRDefault="00854C17" w:rsidP="00854C17">
            <w:pPr>
              <w:pStyle w:val="af1"/>
              <w:numPr>
                <w:ilvl w:val="0"/>
                <w:numId w:val="2"/>
              </w:numPr>
              <w:spacing w:after="0"/>
              <w:ind w:left="3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лікар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медико-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санітарної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, член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згодою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854C17" w:rsidRPr="003413AE" w:rsidTr="00135F9B">
        <w:tc>
          <w:tcPr>
            <w:tcW w:w="3119" w:type="dxa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Дем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янюк</w:t>
            </w:r>
            <w:proofErr w:type="spellEnd"/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Катерина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Василівна</w:t>
            </w:r>
            <w:proofErr w:type="spellEnd"/>
          </w:p>
        </w:tc>
        <w:tc>
          <w:tcPr>
            <w:tcW w:w="6558" w:type="dxa"/>
            <w:hideMark/>
          </w:tcPr>
          <w:p w:rsidR="00854C17" w:rsidRPr="003413AE" w:rsidRDefault="00854C17" w:rsidP="00854C17">
            <w:pPr>
              <w:pStyle w:val="af1"/>
              <w:numPr>
                <w:ilvl w:val="0"/>
                <w:numId w:val="2"/>
              </w:numPr>
              <w:spacing w:after="0"/>
              <w:ind w:left="34" w:firstLine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Комунального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ідприємства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центр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медико-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санітарної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районної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ради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, член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(за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згодою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</w:tc>
      </w:tr>
      <w:tr w:rsidR="00854C17" w:rsidRPr="003413AE" w:rsidTr="00135F9B">
        <w:tc>
          <w:tcPr>
            <w:tcW w:w="3119" w:type="dxa"/>
            <w:hideMark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Конченко</w:t>
            </w:r>
            <w:proofErr w:type="spellEnd"/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іта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Володимирівна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  <w:hideMark/>
          </w:tcPr>
          <w:p w:rsidR="00854C17" w:rsidRPr="003413AE" w:rsidRDefault="00854C17" w:rsidP="00854C17">
            <w:pPr>
              <w:pStyle w:val="af1"/>
              <w:numPr>
                <w:ilvl w:val="0"/>
                <w:numId w:val="2"/>
              </w:numPr>
              <w:spacing w:after="0"/>
              <w:ind w:left="34"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бухгалтерського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обліку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ради, член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854C17" w:rsidRPr="003413AE" w:rsidTr="00135F9B">
        <w:tc>
          <w:tcPr>
            <w:tcW w:w="3119" w:type="dxa"/>
          </w:tcPr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Панцюк</w:t>
            </w:r>
            <w:proofErr w:type="spellEnd"/>
          </w:p>
          <w:p w:rsidR="00854C17" w:rsidRPr="003413AE" w:rsidRDefault="00854C17" w:rsidP="00135F9B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Тетяна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Олександрівна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558" w:type="dxa"/>
          </w:tcPr>
          <w:p w:rsidR="00854C17" w:rsidRPr="003413AE" w:rsidRDefault="00854C17" w:rsidP="00135F9B">
            <w:pPr>
              <w:pStyle w:val="af1"/>
              <w:spacing w:after="0"/>
              <w:ind w:left="241"/>
              <w:jc w:val="both"/>
              <w:rPr>
                <w:rFonts w:ascii="Times New Roman" w:eastAsia="SimSun" w:hAnsi="Times New Roman" w:cs="Times New Roman"/>
                <w:sz w:val="24"/>
                <w:szCs w:val="24"/>
              </w:rPr>
            </w:pPr>
          </w:p>
          <w:p w:rsidR="00854C17" w:rsidRPr="003413AE" w:rsidRDefault="00854C17" w:rsidP="00854C17">
            <w:pPr>
              <w:pStyle w:val="af1"/>
              <w:numPr>
                <w:ilvl w:val="0"/>
                <w:numId w:val="2"/>
              </w:numPr>
              <w:spacing w:after="0"/>
              <w:ind w:left="34" w:firstLine="2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загального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 xml:space="preserve"> ради, член </w:t>
            </w:r>
            <w:proofErr w:type="spellStart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комісії</w:t>
            </w:r>
            <w:proofErr w:type="spellEnd"/>
            <w:r w:rsidRPr="003413A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54C17" w:rsidRPr="003413AE" w:rsidRDefault="00854C17" w:rsidP="00135F9B">
            <w:pPr>
              <w:pStyle w:val="af1"/>
              <w:spacing w:after="0"/>
              <w:ind w:left="24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54C17" w:rsidRPr="003413AE" w:rsidRDefault="00854C17" w:rsidP="00854C17">
      <w:pPr>
        <w:tabs>
          <w:tab w:val="left" w:pos="708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C17" w:rsidRPr="003413AE" w:rsidRDefault="00854C17" w:rsidP="00854C17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4C17" w:rsidRDefault="00854C17" w:rsidP="00854C17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Секретар сільської ради  </w:t>
      </w:r>
      <w:r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 w:rsidRPr="003413AE">
        <w:rPr>
          <w:rFonts w:ascii="Times New Roman" w:hAnsi="Times New Roman"/>
          <w:sz w:val="24"/>
          <w:szCs w:val="24"/>
          <w:lang w:val="uk-UA"/>
        </w:rPr>
        <w:tab/>
      </w:r>
      <w:r>
        <w:rPr>
          <w:rFonts w:ascii="Times New Roman" w:hAnsi="Times New Roman"/>
          <w:sz w:val="24"/>
          <w:szCs w:val="24"/>
          <w:lang w:val="uk-UA"/>
        </w:rPr>
        <w:t xml:space="preserve">                </w:t>
      </w:r>
      <w:r w:rsidRPr="003413AE">
        <w:rPr>
          <w:rFonts w:ascii="Times New Roman" w:hAnsi="Times New Roman"/>
          <w:sz w:val="24"/>
          <w:szCs w:val="24"/>
          <w:lang w:val="uk-UA"/>
        </w:rPr>
        <w:t>В.М. Мазур</w:t>
      </w:r>
    </w:p>
    <w:p w:rsidR="00524013" w:rsidRDefault="00524013"/>
    <w:sectPr w:rsidR="005240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609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C17"/>
    <w:rsid w:val="00130987"/>
    <w:rsid w:val="00171A2E"/>
    <w:rsid w:val="00304C90"/>
    <w:rsid w:val="00505B6D"/>
    <w:rsid w:val="00524013"/>
    <w:rsid w:val="006D3977"/>
    <w:rsid w:val="007D6C18"/>
    <w:rsid w:val="00854C1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854C17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854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854C17"/>
    <w:rPr>
      <w:rFonts w:ascii="Consolas" w:hAnsi="Consolas"/>
      <w:sz w:val="20"/>
      <w:szCs w:val="20"/>
      <w:lang w:val="uk-UA" w:eastAsia="uk-UA" w:bidi="ar-SA"/>
    </w:rPr>
  </w:style>
  <w:style w:type="character" w:customStyle="1" w:styleId="af2">
    <w:name w:val="Абзац списка Знак"/>
    <w:link w:val="af1"/>
    <w:uiPriority w:val="34"/>
    <w:locked/>
    <w:rsid w:val="00854C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854C17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854C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854C17"/>
    <w:rPr>
      <w:rFonts w:ascii="Consolas" w:hAnsi="Consolas"/>
      <w:sz w:val="20"/>
      <w:szCs w:val="20"/>
      <w:lang w:val="uk-UA" w:eastAsia="uk-UA" w:bidi="ar-SA"/>
    </w:rPr>
  </w:style>
  <w:style w:type="character" w:customStyle="1" w:styleId="af2">
    <w:name w:val="Абзац списка Знак"/>
    <w:link w:val="af1"/>
    <w:uiPriority w:val="34"/>
    <w:locked/>
    <w:rsid w:val="00854C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816</Words>
  <Characters>4654</Characters>
  <Application>Microsoft Office Word</Application>
  <DocSecurity>0</DocSecurity>
  <Lines>38</Lines>
  <Paragraphs>10</Paragraphs>
  <ScaleCrop>false</ScaleCrop>
  <Company>Microsoft</Company>
  <LinksUpToDate>false</LinksUpToDate>
  <CharactersWithSpaces>5460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2020-07-29T13:46:00Z</dcterms:created>
  <dcterms:modified xsi:type="dcterms:W3CDTF">2020-07-29T18:14:00Z</dcterms:modified>
</cp:coreProperties>
</file>