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70D46" w:rsidRDefault="00370D46" w:rsidP="00370D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Pr="00B55F72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B55F7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70D46" w:rsidRPr="007701E3" w:rsidRDefault="00370D46" w:rsidP="00370D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70D46" w:rsidRPr="007701E3" w:rsidRDefault="00370D46" w:rsidP="00370D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70D46" w:rsidRPr="007701E3" w:rsidRDefault="00370D46" w:rsidP="00370D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0D46" w:rsidRDefault="00370D46" w:rsidP="00370D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</w:t>
      </w:r>
    </w:p>
    <w:p w:rsidR="00370D46" w:rsidRPr="00B55F72" w:rsidRDefault="00370D46" w:rsidP="00370D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70D46" w:rsidRPr="00B55F72" w:rsidRDefault="00370D46" w:rsidP="00370D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5F72">
        <w:rPr>
          <w:rFonts w:ascii="Times New Roman" w:hAnsi="Times New Roman" w:cs="Times New Roman"/>
          <w:b/>
          <w:sz w:val="24"/>
          <w:szCs w:val="24"/>
        </w:rPr>
        <w:t>Про затвердження Програми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55F72">
        <w:rPr>
          <w:rFonts w:ascii="Times New Roman" w:hAnsi="Times New Roman" w:cs="Times New Roman"/>
          <w:b/>
          <w:sz w:val="24"/>
          <w:szCs w:val="24"/>
        </w:rPr>
        <w:t>забезпечення</w:t>
      </w:r>
    </w:p>
    <w:p w:rsidR="00370D46" w:rsidRPr="00B55F72" w:rsidRDefault="00370D46" w:rsidP="00370D4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5F72">
        <w:rPr>
          <w:rFonts w:ascii="Times New Roman" w:hAnsi="Times New Roman" w:cs="Times New Roman"/>
          <w:b/>
          <w:sz w:val="24"/>
          <w:szCs w:val="24"/>
        </w:rPr>
        <w:t xml:space="preserve">проведення протиепізоотичних заходів </w:t>
      </w:r>
    </w:p>
    <w:p w:rsidR="00370D46" w:rsidRPr="00B55F72" w:rsidRDefault="00370D46" w:rsidP="00370D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b/>
          <w:sz w:val="24"/>
          <w:szCs w:val="24"/>
        </w:rPr>
        <w:t xml:space="preserve">на території Крупецької об’єднаної територіальної 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102"/>
        <w:rPr>
          <w:rFonts w:ascii="Times New Roman" w:hAnsi="Times New Roman" w:cs="Times New Roman"/>
          <w:b/>
          <w:sz w:val="24"/>
          <w:szCs w:val="24"/>
        </w:rPr>
      </w:pPr>
      <w:r w:rsidRPr="00B55F72">
        <w:rPr>
          <w:rFonts w:ascii="Times New Roman" w:hAnsi="Times New Roman" w:cs="Times New Roman"/>
          <w:b/>
          <w:sz w:val="24"/>
          <w:szCs w:val="24"/>
        </w:rPr>
        <w:t>громади</w:t>
      </w:r>
      <w:r w:rsidRPr="00B55F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5F72">
        <w:rPr>
          <w:rFonts w:ascii="Times New Roman" w:hAnsi="Times New Roman" w:cs="Times New Roman"/>
          <w:b/>
          <w:sz w:val="24"/>
          <w:szCs w:val="24"/>
        </w:rPr>
        <w:t>на 2019 – 2021  роки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 Закону України «Про місцеве самоврядування в Україні», та звернення Славутського районного управління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 xml:space="preserve"> в Хмельницькій області,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 xml:space="preserve"> сільська рада    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>ВИРІШИЛА:</w:t>
      </w:r>
    </w:p>
    <w:p w:rsidR="00370D46" w:rsidRPr="00B55F72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>1. Затвердити Програму забезпечення проведення протиепізоотичних заходів на території Крупецької об’єднаної територіальної громади на 2019 – 2021  роки (далі - програма), що додається.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Славутському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 xml:space="preserve"> районному управлінню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 xml:space="preserve"> в Хмельницькій області (Колесник Л.В.) по закінченню передбачених термінів реалізації інформувати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Крупецьку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 xml:space="preserve"> сільську раду про виконання програми.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>3. Контроль за виконанням цього рішення покласти на заступника сільського голови з питань діяльності виконавчих органів  ради Л.П.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B55F72">
        <w:rPr>
          <w:rFonts w:ascii="Times New Roman" w:hAnsi="Times New Roman" w:cs="Times New Roman"/>
          <w:sz w:val="24"/>
          <w:szCs w:val="24"/>
        </w:rPr>
        <w:t>.</w:t>
      </w: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D46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D46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D46" w:rsidRPr="00B55F72" w:rsidRDefault="00370D46" w:rsidP="00370D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55F72">
        <w:rPr>
          <w:rFonts w:ascii="Times New Roman" w:hAnsi="Times New Roman" w:cs="Times New Roman"/>
          <w:sz w:val="24"/>
          <w:szCs w:val="24"/>
        </w:rPr>
        <w:t xml:space="preserve">Сільський </w:t>
      </w:r>
      <w:r>
        <w:rPr>
          <w:rFonts w:ascii="Times New Roman" w:hAnsi="Times New Roman" w:cs="Times New Roman"/>
          <w:sz w:val="24"/>
          <w:szCs w:val="24"/>
        </w:rPr>
        <w:t>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</w:t>
      </w:r>
      <w:r w:rsidRPr="00B55F72"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Pr="00B55F72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70D46" w:rsidRPr="00256098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370D46" w:rsidRDefault="00370D46" w:rsidP="00370D46">
      <w:pPr>
        <w:tabs>
          <w:tab w:val="left" w:pos="2160"/>
        </w:tabs>
        <w:rPr>
          <w:rFonts w:ascii="Times New Roman" w:hAnsi="Times New Roman" w:cs="Times New Roman"/>
        </w:rPr>
      </w:pPr>
    </w:p>
    <w:p w:rsidR="00370D46" w:rsidRDefault="00370D46" w:rsidP="00370D46">
      <w:pPr>
        <w:tabs>
          <w:tab w:val="left" w:pos="2160"/>
        </w:tabs>
        <w:rPr>
          <w:rFonts w:ascii="Times New Roman" w:hAnsi="Times New Roman" w:cs="Times New Roman"/>
        </w:rPr>
      </w:pPr>
    </w:p>
    <w:p w:rsidR="00370D46" w:rsidRDefault="00370D46" w:rsidP="00370D46">
      <w:pPr>
        <w:tabs>
          <w:tab w:val="left" w:pos="2160"/>
        </w:tabs>
        <w:rPr>
          <w:rFonts w:ascii="Times New Roman" w:hAnsi="Times New Roman" w:cs="Times New Roman"/>
        </w:rPr>
      </w:pPr>
    </w:p>
    <w:tbl>
      <w:tblPr>
        <w:tblW w:w="10065" w:type="dxa"/>
        <w:tblInd w:w="-34" w:type="dxa"/>
        <w:tblLook w:val="01E0"/>
      </w:tblPr>
      <w:tblGrid>
        <w:gridCol w:w="4820"/>
        <w:gridCol w:w="5245"/>
      </w:tblGrid>
      <w:tr w:rsidR="00370D46" w:rsidRPr="00B01AD9" w:rsidTr="00D53943">
        <w:tc>
          <w:tcPr>
            <w:tcW w:w="4820" w:type="dxa"/>
          </w:tcPr>
          <w:p w:rsidR="00370D46" w:rsidRPr="00B01AD9" w:rsidRDefault="00370D46" w:rsidP="00D5394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B01AD9">
              <w:rPr>
                <w:rStyle w:val="FontStyle13"/>
                <w:color w:val="000000"/>
                <w:sz w:val="24"/>
                <w:szCs w:val="24"/>
              </w:rPr>
              <w:br w:type="page"/>
            </w:r>
            <w:r w:rsidRPr="00B01AD9">
              <w:rPr>
                <w:rFonts w:ascii="Times New Roman" w:hAnsi="Times New Roman" w:cs="Times New Roman"/>
                <w:sz w:val="24"/>
                <w:szCs w:val="24"/>
              </w:rPr>
              <w:br w:type="page"/>
            </w:r>
          </w:p>
          <w:p w:rsidR="00370D46" w:rsidRPr="00B01AD9" w:rsidRDefault="00370D46" w:rsidP="00D53943">
            <w:pPr>
              <w:spacing w:after="0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</w:tcPr>
          <w:p w:rsidR="00370D46" w:rsidRPr="00B01AD9" w:rsidRDefault="00370D46" w:rsidP="00D53943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Додаток 1</w:t>
            </w:r>
          </w:p>
          <w:p w:rsidR="00370D46" w:rsidRPr="00B01AD9" w:rsidRDefault="00370D46" w:rsidP="00D53943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до рішення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Крупецької сільської ради</w:t>
            </w:r>
          </w:p>
          <w:p w:rsidR="00370D46" w:rsidRPr="00B01AD9" w:rsidRDefault="00370D46" w:rsidP="00D53943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вересня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 xml:space="preserve"> 2019 року </w:t>
            </w:r>
          </w:p>
          <w:p w:rsidR="00370D46" w:rsidRPr="00B01AD9" w:rsidRDefault="00370D46" w:rsidP="00D53943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370D46" w:rsidRPr="00B01AD9" w:rsidRDefault="00370D46" w:rsidP="00370D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tbl>
      <w:tblPr>
        <w:tblStyle w:val="a5"/>
        <w:tblW w:w="0" w:type="auto"/>
        <w:tblLook w:val="04A0"/>
      </w:tblPr>
      <w:tblGrid>
        <w:gridCol w:w="959"/>
        <w:gridCol w:w="3685"/>
        <w:gridCol w:w="4785"/>
      </w:tblGrid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Ініціатор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розроблення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Славутське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управління Головного управління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01AD9">
              <w:rPr>
                <w:sz w:val="24"/>
                <w:szCs w:val="24"/>
              </w:rPr>
              <w:t>Держпродспоживслужби</w:t>
            </w:r>
            <w:proofErr w:type="spellEnd"/>
            <w:r w:rsidRPr="00B01AD9">
              <w:rPr>
                <w:sz w:val="24"/>
                <w:szCs w:val="24"/>
              </w:rPr>
              <w:t xml:space="preserve"> в </w:t>
            </w:r>
            <w:proofErr w:type="spellStart"/>
            <w:r w:rsidRPr="00B01AD9">
              <w:rPr>
                <w:sz w:val="24"/>
                <w:szCs w:val="24"/>
              </w:rPr>
              <w:t>Хмельницькійобласті</w:t>
            </w:r>
            <w:proofErr w:type="spellEnd"/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 xml:space="preserve">2.    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Розробникпрограми</w:t>
            </w:r>
            <w:proofErr w:type="spellEnd"/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Славутське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управління Головного управління</w:t>
            </w:r>
            <w:r>
              <w:rPr>
                <w:sz w:val="24"/>
                <w:szCs w:val="24"/>
              </w:rPr>
              <w:t xml:space="preserve"> </w:t>
            </w:r>
            <w:proofErr w:type="spellStart"/>
            <w:r w:rsidRPr="00B01AD9">
              <w:rPr>
                <w:sz w:val="24"/>
                <w:szCs w:val="24"/>
              </w:rPr>
              <w:t>Держпродспоживслужби</w:t>
            </w:r>
            <w:proofErr w:type="spellEnd"/>
            <w:r w:rsidRPr="00B01AD9">
              <w:rPr>
                <w:sz w:val="24"/>
                <w:szCs w:val="24"/>
              </w:rPr>
              <w:t xml:space="preserve"> в </w:t>
            </w:r>
            <w:proofErr w:type="spellStart"/>
            <w:r w:rsidRPr="00B01AD9">
              <w:rPr>
                <w:sz w:val="24"/>
                <w:szCs w:val="24"/>
              </w:rPr>
              <w:t>Хмельницькійобласті</w:t>
            </w:r>
            <w:proofErr w:type="spellEnd"/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 xml:space="preserve">3.  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Співрозробник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Славутська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державна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лікарня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ветеринарної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медицини</w:t>
            </w:r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 xml:space="preserve">4.  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Відповідальний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виконавець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Славутська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державна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лікарня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ветеринарної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медицини</w:t>
            </w:r>
          </w:p>
        </w:tc>
      </w:tr>
      <w:tr w:rsidR="00370D46" w:rsidRPr="00B01AD9" w:rsidTr="00D53943">
        <w:trPr>
          <w:trHeight w:val="1380"/>
        </w:trPr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 xml:space="preserve">5.  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Учасники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proofErr w:type="spellStart"/>
            <w:r w:rsidRPr="00B01AD9">
              <w:rPr>
                <w:sz w:val="24"/>
                <w:szCs w:val="24"/>
              </w:rPr>
              <w:t>Славутська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района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державна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лікарня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ветеринарної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 xml:space="preserve">медицини, </w:t>
            </w:r>
            <w:proofErr w:type="spellStart"/>
            <w:r w:rsidRPr="00B01AD9">
              <w:rPr>
                <w:sz w:val="24"/>
                <w:szCs w:val="24"/>
              </w:rPr>
              <w:t>Крупецька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об’єднана</w:t>
            </w:r>
            <w:r>
              <w:rPr>
                <w:sz w:val="24"/>
                <w:szCs w:val="24"/>
              </w:rPr>
              <w:t xml:space="preserve">  </w:t>
            </w:r>
            <w:r w:rsidRPr="00B01AD9">
              <w:rPr>
                <w:sz w:val="24"/>
                <w:szCs w:val="24"/>
              </w:rPr>
              <w:t>територіальна громада</w:t>
            </w:r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6.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Термін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реалізації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2019-2021 роки</w:t>
            </w:r>
          </w:p>
        </w:tc>
      </w:tr>
      <w:tr w:rsidR="00370D46" w:rsidRPr="00B01AD9" w:rsidTr="00D53943">
        <w:tc>
          <w:tcPr>
            <w:tcW w:w="959" w:type="dxa"/>
            <w:vMerge w:val="restart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6.1.</w:t>
            </w:r>
          </w:p>
        </w:tc>
        <w:tc>
          <w:tcPr>
            <w:tcW w:w="3685" w:type="dxa"/>
            <w:vMerge w:val="restart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Етапи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виконання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І етап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– 2019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рік</w:t>
            </w:r>
          </w:p>
        </w:tc>
      </w:tr>
      <w:tr w:rsidR="00370D46" w:rsidRPr="00B01AD9" w:rsidTr="00D53943">
        <w:tc>
          <w:tcPr>
            <w:tcW w:w="959" w:type="dxa"/>
            <w:vMerge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ІІ етап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– 2020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рік</w:t>
            </w:r>
          </w:p>
        </w:tc>
      </w:tr>
      <w:tr w:rsidR="00370D46" w:rsidRPr="00B01AD9" w:rsidTr="00D53943">
        <w:tc>
          <w:tcPr>
            <w:tcW w:w="959" w:type="dxa"/>
            <w:vMerge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ІІІ етап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– 2021 рік</w:t>
            </w:r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7.</w:t>
            </w:r>
          </w:p>
        </w:tc>
        <w:tc>
          <w:tcPr>
            <w:tcW w:w="36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Перелік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місцевих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бюджетів, які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беруть участь у виконанні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програми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Бюджет територіальної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громади, інші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джерела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фінансування не заборонені</w:t>
            </w:r>
            <w:r>
              <w:rPr>
                <w:sz w:val="24"/>
                <w:szCs w:val="24"/>
              </w:rPr>
              <w:t xml:space="preserve"> чинним </w:t>
            </w:r>
            <w:r w:rsidRPr="00B01AD9">
              <w:rPr>
                <w:sz w:val="24"/>
                <w:szCs w:val="24"/>
              </w:rPr>
              <w:t>законодавством</w:t>
            </w:r>
          </w:p>
        </w:tc>
      </w:tr>
      <w:tr w:rsidR="00370D46" w:rsidRPr="00B01AD9" w:rsidTr="00D53943">
        <w:tc>
          <w:tcPr>
            <w:tcW w:w="959" w:type="dxa"/>
          </w:tcPr>
          <w:p w:rsidR="00370D46" w:rsidRPr="00B01AD9" w:rsidRDefault="00370D46" w:rsidP="00D53943">
            <w:pPr>
              <w:tabs>
                <w:tab w:val="left" w:pos="4126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 xml:space="preserve">8.  </w:t>
            </w:r>
          </w:p>
          <w:p w:rsidR="00370D46" w:rsidRPr="00B01AD9" w:rsidRDefault="00370D46" w:rsidP="00D53943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</w:tcPr>
          <w:p w:rsidR="00370D46" w:rsidRPr="00B01AD9" w:rsidRDefault="00370D46" w:rsidP="00D53943">
            <w:pPr>
              <w:tabs>
                <w:tab w:val="left" w:pos="4126"/>
              </w:tabs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Загальний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обсяг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фінансових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ресурсів, необхідних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для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>реалізації</w:t>
            </w:r>
            <w:r>
              <w:rPr>
                <w:sz w:val="24"/>
                <w:szCs w:val="24"/>
              </w:rPr>
              <w:t xml:space="preserve"> </w:t>
            </w:r>
            <w:r w:rsidRPr="00B01AD9">
              <w:rPr>
                <w:sz w:val="24"/>
                <w:szCs w:val="24"/>
              </w:rPr>
              <w:t xml:space="preserve">програми. </w:t>
            </w:r>
          </w:p>
        </w:tc>
        <w:tc>
          <w:tcPr>
            <w:tcW w:w="4785" w:type="dxa"/>
          </w:tcPr>
          <w:p w:rsidR="00370D46" w:rsidRPr="00B01AD9" w:rsidRDefault="00370D46" w:rsidP="00D53943">
            <w:pPr>
              <w:spacing w:before="120" w:line="276" w:lineRule="auto"/>
              <w:jc w:val="both"/>
              <w:rPr>
                <w:b/>
                <w:sz w:val="24"/>
                <w:szCs w:val="24"/>
              </w:rPr>
            </w:pPr>
            <w:r w:rsidRPr="00B01AD9">
              <w:rPr>
                <w:sz w:val="24"/>
                <w:szCs w:val="24"/>
              </w:rPr>
              <w:t>49260 грн. 00 коп.</w:t>
            </w:r>
          </w:p>
        </w:tc>
      </w:tr>
    </w:tbl>
    <w:p w:rsidR="00370D46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Pr="00B01AD9" w:rsidRDefault="00370D46" w:rsidP="00370D46">
      <w:pPr>
        <w:spacing w:before="240" w:after="0"/>
        <w:rPr>
          <w:rFonts w:ascii="Times New Roman" w:hAnsi="Times New Roman" w:cs="Times New Roman"/>
          <w:b/>
          <w:sz w:val="24"/>
          <w:szCs w:val="24"/>
        </w:rPr>
      </w:pP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lastRenderedPageBreak/>
        <w:t>ПРОГРАМА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забезпечення проведення протиепізоотичних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b/>
          <w:sz w:val="24"/>
          <w:szCs w:val="24"/>
        </w:rPr>
        <w:t>заходів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на території Крупецької об’єднаної територіальної громади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на 2019 – 2021 роки</w:t>
      </w:r>
    </w:p>
    <w:p w:rsidR="00370D46" w:rsidRPr="00B01AD9" w:rsidRDefault="00370D46" w:rsidP="00370D46">
      <w:pPr>
        <w:spacing w:before="240"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1. Епізоотичний стан</w:t>
      </w:r>
    </w:p>
    <w:p w:rsidR="00370D46" w:rsidRPr="00B01AD9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 xml:space="preserve">Одним з головних завдань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sz w:val="24"/>
          <w:szCs w:val="24"/>
        </w:rPr>
        <w:t>району є захист тварин та населення від збудників та хвороб тварин шляхом здійснення профілактичних, діагностичних та лікувальних заходів.</w:t>
      </w:r>
    </w:p>
    <w:p w:rsidR="00370D46" w:rsidRPr="00B01AD9" w:rsidRDefault="00370D46" w:rsidP="00370D46">
      <w:pPr>
        <w:pStyle w:val="a6"/>
        <w:spacing w:line="276" w:lineRule="auto"/>
        <w:ind w:left="0" w:right="0" w:firstLine="708"/>
        <w:jc w:val="both"/>
        <w:rPr>
          <w:sz w:val="24"/>
          <w:szCs w:val="24"/>
        </w:rPr>
      </w:pPr>
      <w:r w:rsidRPr="00B01AD9">
        <w:rPr>
          <w:sz w:val="24"/>
          <w:szCs w:val="24"/>
        </w:rPr>
        <w:t xml:space="preserve">До складу Крупецької об’єднаної територіальної громади входить 6 населених пунктів, спеціалістами </w:t>
      </w:r>
      <w:proofErr w:type="spellStart"/>
      <w:r w:rsidRPr="00B01AD9">
        <w:rPr>
          <w:sz w:val="24"/>
          <w:szCs w:val="24"/>
        </w:rPr>
        <w:t>Крупецького</w:t>
      </w:r>
      <w:proofErr w:type="spellEnd"/>
      <w:r w:rsidRPr="00B01AD9">
        <w:rPr>
          <w:sz w:val="24"/>
          <w:szCs w:val="24"/>
        </w:rPr>
        <w:t xml:space="preserve"> пункту ветеринарної медицини та </w:t>
      </w:r>
      <w:proofErr w:type="spellStart"/>
      <w:r w:rsidRPr="00B01AD9">
        <w:rPr>
          <w:sz w:val="24"/>
          <w:szCs w:val="24"/>
        </w:rPr>
        <w:t>Кривинської</w:t>
      </w:r>
      <w:proofErr w:type="spellEnd"/>
      <w:r w:rsidRPr="00B01AD9">
        <w:rPr>
          <w:sz w:val="24"/>
          <w:szCs w:val="24"/>
        </w:rPr>
        <w:t xml:space="preserve"> дільничної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>лікарні ветеринарної медицини, щороку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>проводиться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 xml:space="preserve">великий обсяг профілактичних щеплень, обробок </w:t>
      </w:r>
      <w:proofErr w:type="spellStart"/>
      <w:r w:rsidRPr="00B01AD9">
        <w:rPr>
          <w:sz w:val="24"/>
          <w:szCs w:val="24"/>
        </w:rPr>
        <w:t>тваринта</w:t>
      </w:r>
      <w:proofErr w:type="spellEnd"/>
      <w:r w:rsidRPr="00B01AD9">
        <w:rPr>
          <w:sz w:val="24"/>
          <w:szCs w:val="24"/>
        </w:rPr>
        <w:t xml:space="preserve"> діагностичних досліджень, внаслідок чого досягнуто епізоотичне благополуччя тваринництва зон обслуговування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>щодо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>гострих інфекційних та інвазійних захворювань, зокрема бруцельозу, туберкульозу, сибірки, чуми свиней, грипу і</w:t>
      </w:r>
      <w:r>
        <w:rPr>
          <w:sz w:val="24"/>
          <w:szCs w:val="24"/>
        </w:rPr>
        <w:t xml:space="preserve"> </w:t>
      </w:r>
      <w:r w:rsidRPr="00B01AD9">
        <w:rPr>
          <w:sz w:val="24"/>
          <w:szCs w:val="24"/>
        </w:rPr>
        <w:t>хвороби</w:t>
      </w:r>
      <w:r>
        <w:rPr>
          <w:sz w:val="24"/>
          <w:szCs w:val="24"/>
        </w:rPr>
        <w:t xml:space="preserve"> </w:t>
      </w:r>
      <w:proofErr w:type="spellStart"/>
      <w:r w:rsidRPr="00B01AD9">
        <w:rPr>
          <w:sz w:val="24"/>
          <w:szCs w:val="24"/>
        </w:rPr>
        <w:t>Ньюкасла</w:t>
      </w:r>
      <w:proofErr w:type="spellEnd"/>
      <w:r w:rsidRPr="00B01AD9">
        <w:rPr>
          <w:sz w:val="24"/>
          <w:szCs w:val="24"/>
        </w:rPr>
        <w:t xml:space="preserve"> птиці тощо.</w:t>
      </w:r>
    </w:p>
    <w:p w:rsidR="00370D46" w:rsidRPr="00B01AD9" w:rsidRDefault="00370D46" w:rsidP="00370D46">
      <w:pPr>
        <w:pStyle w:val="a6"/>
        <w:spacing w:line="276" w:lineRule="auto"/>
        <w:ind w:left="0" w:right="0" w:firstLine="708"/>
        <w:jc w:val="both"/>
        <w:rPr>
          <w:sz w:val="24"/>
          <w:szCs w:val="24"/>
        </w:rPr>
      </w:pPr>
      <w:r w:rsidRPr="00B01AD9">
        <w:rPr>
          <w:sz w:val="24"/>
          <w:szCs w:val="24"/>
        </w:rPr>
        <w:t xml:space="preserve">Проте реєструються випадки сказу тварин, виявляється велика рогата худоби, хвора на лейкоз, лептоспіроз та паразитарні хвороби. </w:t>
      </w:r>
    </w:p>
    <w:p w:rsidR="00370D46" w:rsidRPr="00B01AD9" w:rsidRDefault="00370D46" w:rsidP="00370D46">
      <w:pPr>
        <w:pStyle w:val="a6"/>
        <w:spacing w:line="276" w:lineRule="auto"/>
        <w:ind w:left="0" w:right="0" w:firstLine="708"/>
        <w:jc w:val="both"/>
        <w:rPr>
          <w:sz w:val="24"/>
          <w:szCs w:val="24"/>
          <w:shd w:val="clear" w:color="auto" w:fill="FFFFFF"/>
        </w:rPr>
      </w:pPr>
      <w:r w:rsidRPr="00B01AD9">
        <w:rPr>
          <w:sz w:val="24"/>
          <w:szCs w:val="24"/>
        </w:rPr>
        <w:t xml:space="preserve">Крім цього якщо на території України в 2012-2013 рр. стався лише один випадок в </w:t>
      </w:r>
      <w:proofErr w:type="spellStart"/>
      <w:r w:rsidRPr="00B01AD9">
        <w:rPr>
          <w:sz w:val="24"/>
          <w:szCs w:val="24"/>
        </w:rPr>
        <w:t>Запоріжській</w:t>
      </w:r>
      <w:proofErr w:type="spellEnd"/>
      <w:r w:rsidRPr="00B01AD9">
        <w:rPr>
          <w:sz w:val="24"/>
          <w:szCs w:val="24"/>
        </w:rPr>
        <w:t xml:space="preserve"> області (приватний сектор) то починаючи з 2014 року поширення вірусу АЧС набрало широких масштабів, протягом 2014-2019 років сталося 499 випадків АЧС з них в 2019 році 44 випадки, зокрема в 2016 року на території Хмельницької області зареєстровано п’ять випадків африканської чуми, в 2017-2019 роках по одному випадку</w:t>
      </w:r>
      <w:r w:rsidRPr="00B01AD9">
        <w:rPr>
          <w:sz w:val="24"/>
          <w:szCs w:val="24"/>
          <w:shd w:val="clear" w:color="auto" w:fill="FFFFFF"/>
        </w:rPr>
        <w:t xml:space="preserve">, вважаючи на вище викладені факти загроза занесення вірусу АЧС значно зросла, а це несе за </w:t>
      </w:r>
      <w:proofErr w:type="spellStart"/>
      <w:r w:rsidRPr="00B01AD9">
        <w:rPr>
          <w:sz w:val="24"/>
          <w:szCs w:val="24"/>
          <w:shd w:val="clear" w:color="auto" w:fill="FFFFFF"/>
        </w:rPr>
        <w:t>собою</w:t>
      </w:r>
      <w:r w:rsidRPr="00B01AD9">
        <w:rPr>
          <w:sz w:val="24"/>
          <w:szCs w:val="24"/>
        </w:rPr>
        <w:t>значні</w:t>
      </w:r>
      <w:proofErr w:type="spellEnd"/>
      <w:r w:rsidRPr="00B01AD9">
        <w:rPr>
          <w:sz w:val="24"/>
          <w:szCs w:val="24"/>
        </w:rPr>
        <w:t xml:space="preserve"> економічні збитки як для господарств різних власності, приватному сектору так і в цілому всьому </w:t>
      </w:r>
      <w:proofErr w:type="spellStart"/>
      <w:r w:rsidRPr="00B01AD9">
        <w:rPr>
          <w:sz w:val="24"/>
          <w:szCs w:val="24"/>
        </w:rPr>
        <w:t>Славутському</w:t>
      </w:r>
      <w:proofErr w:type="spellEnd"/>
      <w:r w:rsidRPr="00B01AD9">
        <w:rPr>
          <w:sz w:val="24"/>
          <w:szCs w:val="24"/>
        </w:rPr>
        <w:t xml:space="preserve"> району</w:t>
      </w:r>
      <w:r w:rsidRPr="00B01AD9">
        <w:rPr>
          <w:sz w:val="24"/>
          <w:szCs w:val="24"/>
          <w:shd w:val="clear" w:color="auto" w:fill="FFFFFF"/>
        </w:rPr>
        <w:t>.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2. Мета та завдання Програми</w:t>
      </w:r>
    </w:p>
    <w:p w:rsidR="00370D46" w:rsidRPr="00B01AD9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Основною метою Програми є захист населення, сільськогосподарських, домашніх та диких тварин від захворювань, досягнення стабільного епізоотичного благополуччя в тваринництві району.</w:t>
      </w:r>
    </w:p>
    <w:p w:rsidR="00370D46" w:rsidRPr="00B01AD9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Забезпечення створення необхідного матеріального резерву для екстреного розгортання і належних умов функціонування карантинних ветеринарно-поліцейських та проведення заходів по профілактиці та ліквідації гостроінфекційних хвороб.</w:t>
      </w:r>
    </w:p>
    <w:p w:rsidR="00370D46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Охорона території Крупецької об’єднаної територіальної громади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sz w:val="24"/>
          <w:szCs w:val="24"/>
        </w:rPr>
        <w:t>від занесення з інших територій інфекційних хвороб, недопущення їх розповсюдження, профілактика і діагностика, захист населення від хвороб, спільних для людей та тварин, тощо.</w:t>
      </w:r>
    </w:p>
    <w:p w:rsidR="00370D46" w:rsidRPr="00E0039E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B01AD9">
        <w:rPr>
          <w:rFonts w:ascii="Times New Roman" w:hAnsi="Times New Roman" w:cs="Times New Roman"/>
          <w:b/>
          <w:sz w:val="24"/>
          <w:szCs w:val="24"/>
        </w:rPr>
        <w:t>3. Нормативно-правове забезпечення</w:t>
      </w:r>
    </w:p>
    <w:p w:rsidR="00370D46" w:rsidRPr="00B01AD9" w:rsidRDefault="00370D46" w:rsidP="00370D46">
      <w:pPr>
        <w:shd w:val="clear" w:color="auto" w:fill="FFFFFF"/>
        <w:spacing w:after="0"/>
        <w:ind w:right="-1" w:firstLine="709"/>
        <w:jc w:val="both"/>
        <w:textAlignment w:val="baseline"/>
        <w:rPr>
          <w:rFonts w:ascii="Times New Roman" w:hAnsi="Times New Roman" w:cs="Times New Roman"/>
          <w:color w:val="FF0000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 xml:space="preserve">Програма розроблена відповідно до Закону України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B01AD9">
        <w:rPr>
          <w:rFonts w:ascii="Times New Roman" w:hAnsi="Times New Roman" w:cs="Times New Roman"/>
          <w:bCs/>
          <w:sz w:val="24"/>
          <w:szCs w:val="24"/>
        </w:rPr>
        <w:t>Про Державний бюджет України на 2019 рік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»</w:t>
      </w:r>
      <w:r w:rsidRPr="00B01AD9">
        <w:rPr>
          <w:rFonts w:ascii="Times New Roman" w:hAnsi="Times New Roman" w:cs="Times New Roman"/>
          <w:bCs/>
          <w:sz w:val="24"/>
          <w:szCs w:val="24"/>
        </w:rPr>
        <w:t>,</w:t>
      </w:r>
      <w:r w:rsidRPr="00B01AD9">
        <w:rPr>
          <w:rFonts w:ascii="Times New Roman" w:hAnsi="Times New Roman" w:cs="Times New Roman"/>
          <w:sz w:val="24"/>
          <w:szCs w:val="24"/>
        </w:rPr>
        <w:t xml:space="preserve">Закону України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B01AD9">
        <w:rPr>
          <w:rFonts w:ascii="Times New Roman" w:hAnsi="Times New Roman" w:cs="Times New Roman"/>
          <w:color w:val="000000"/>
          <w:sz w:val="24"/>
          <w:szCs w:val="24"/>
        </w:rPr>
        <w:t xml:space="preserve">Про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ветеринарну медицину», Законів України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«</w:t>
      </w:r>
      <w:r w:rsidRPr="00B01AD9">
        <w:rPr>
          <w:rFonts w:ascii="Times New Roman" w:hAnsi="Times New Roman" w:cs="Times New Roman"/>
          <w:bCs/>
          <w:color w:val="000000"/>
          <w:sz w:val="24"/>
          <w:szCs w:val="24"/>
        </w:rPr>
        <w:t>Про основні принципи та вимоги до безпечності та якості харчових продуктів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»,«Про мисливське господарство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та полювання», </w:t>
      </w:r>
      <w:r w:rsidRPr="00B01AD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постанови Кабінету Міністрів </w:t>
      </w:r>
      <w:r w:rsidRPr="00B01AD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України від 15 серпня 1992 року №478 </w:t>
      </w:r>
      <w:r w:rsidRPr="00B01AD9">
        <w:rPr>
          <w:rFonts w:ascii="Times New Roman" w:hAnsi="Times New Roman" w:cs="Times New Roman"/>
          <w:color w:val="000000"/>
          <w:spacing w:val="2"/>
          <w:sz w:val="24"/>
          <w:szCs w:val="24"/>
        </w:rPr>
        <w:t>«Про перелік протиепізоотичних, лікувальних, лабораторно-діагностичних, радіологічних та інших ветеринарно-санітарних заходів, що проводяться органами державної ветеринарної медицини за рахунок відповідних бюджетних та інших коштів»,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color w:val="000000"/>
          <w:sz w:val="24"/>
          <w:szCs w:val="24"/>
        </w:rPr>
        <w:t>інструкцій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color w:val="000000"/>
          <w:sz w:val="24"/>
          <w:szCs w:val="24"/>
        </w:rPr>
        <w:t xml:space="preserve">з профілактики та боротьби з хворобами тварин, </w:t>
      </w:r>
      <w:r w:rsidRPr="00B01AD9">
        <w:rPr>
          <w:rFonts w:ascii="Times New Roman" w:hAnsi="Times New Roman" w:cs="Times New Roman"/>
          <w:sz w:val="24"/>
          <w:szCs w:val="24"/>
        </w:rPr>
        <w:t xml:space="preserve">річного плану протиепізоотичних заходів по профілактиці основних заразних хвороб тварин у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lastRenderedPageBreak/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sz w:val="24"/>
          <w:szCs w:val="24"/>
        </w:rPr>
        <w:t>районі,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color w:val="000000"/>
          <w:sz w:val="24"/>
          <w:szCs w:val="24"/>
        </w:rPr>
        <w:t>пункт 6 протоколу засідання ДНПК при Хмельницькій ОДА №1 від 15 березня 2017 року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4. Фінансове забезпечення та потреба в коштах на виконання Програми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Фінансування Програми здійснюється за рахунок коштів Крупецької об’єднаної територіальної громади та інших джерел не заборонених законом.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 xml:space="preserve">Враховуючи попередній досвід облаштування ветеринарно-поліцейських блокпостів  в м.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Нетішин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, с.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Мухарів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в 2016 році, виявлено значні недоліки матеріально технічного забезпечення по укомплектуванню, а саме відсутність спецвзуття, спецодягу, спальних мішків, буржуйки, освітлювальних пристроїв,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дезкилимків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, засобів особистої гігієни, умивальника,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біотуалета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та інше.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Матеріально технічне забезпечення на випадок виникнення спалаху в районі потребує оснащення і укомплектування, а саме: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70"/>
        <w:gridCol w:w="1373"/>
        <w:gridCol w:w="1324"/>
        <w:gridCol w:w="1451"/>
        <w:gridCol w:w="1442"/>
        <w:gridCol w:w="1470"/>
      </w:tblGrid>
      <w:tr w:rsidR="00370D46" w:rsidRPr="00B01AD9" w:rsidTr="00D53943">
        <w:trPr>
          <w:trHeight w:val="1446"/>
          <w:tblHeader/>
        </w:trPr>
        <w:tc>
          <w:tcPr>
            <w:tcW w:w="2370" w:type="dxa"/>
            <w:vMerge w:val="restart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Придбання</w:t>
            </w:r>
          </w:p>
        </w:tc>
        <w:tc>
          <w:tcPr>
            <w:tcW w:w="1373" w:type="dxa"/>
            <w:vMerge w:val="restart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Одиниця виміру</w:t>
            </w:r>
          </w:p>
        </w:tc>
        <w:tc>
          <w:tcPr>
            <w:tcW w:w="1324" w:type="dxa"/>
            <w:vMerge w:val="restart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Вартість тисяч грн.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Потреба в 2019р. тисяч гривень.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Потреба в 2020р. тисяч гривень.</w:t>
            </w:r>
          </w:p>
        </w:tc>
        <w:tc>
          <w:tcPr>
            <w:tcW w:w="1470" w:type="dxa"/>
            <w:tcBorders>
              <w:bottom w:val="single" w:sz="4" w:space="0" w:color="auto"/>
            </w:tcBorders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Потреба в 2021р. тисяч гривень.</w:t>
            </w:r>
          </w:p>
        </w:tc>
      </w:tr>
      <w:tr w:rsidR="00370D46" w:rsidRPr="00B01AD9" w:rsidTr="00D53943">
        <w:trPr>
          <w:trHeight w:val="405"/>
        </w:trPr>
        <w:tc>
          <w:tcPr>
            <w:tcW w:w="2370" w:type="dxa"/>
            <w:vMerge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3" w:type="dxa"/>
            <w:vMerge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4" w:type="dxa"/>
            <w:vMerge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 бюджет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 бюджет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Місцевий бюджет</w:t>
            </w:r>
          </w:p>
        </w:tc>
      </w:tr>
      <w:tr w:rsidR="00370D46" w:rsidRPr="00B01AD9" w:rsidTr="00D53943">
        <w:trPr>
          <w:trHeight w:val="405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Дезкилимок</w:t>
            </w:r>
            <w:proofErr w:type="spellEnd"/>
            <w:r w:rsidRPr="00B01AD9">
              <w:rPr>
                <w:rFonts w:ascii="Times New Roman" w:hAnsi="Times New Roman" w:cs="Times New Roman"/>
                <w:sz w:val="24"/>
                <w:szCs w:val="24"/>
              </w:rPr>
              <w:t xml:space="preserve"> автомобільний 100×200×9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4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3,000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6000</w:t>
            </w:r>
          </w:p>
        </w:tc>
      </w:tr>
      <w:tr w:rsidR="00370D46" w:rsidRPr="00B01AD9" w:rsidTr="00D53943">
        <w:trPr>
          <w:trHeight w:val="709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Пічка «Буржуйка»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6,500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6,500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477"/>
        </w:trPr>
        <w:tc>
          <w:tcPr>
            <w:tcW w:w="2370" w:type="dxa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Противогаз</w:t>
            </w:r>
            <w:proofErr w:type="spellEnd"/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3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0,920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2,760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477"/>
        </w:trPr>
        <w:tc>
          <w:tcPr>
            <w:tcW w:w="2370" w:type="dxa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Бензопила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8,000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477"/>
        </w:trPr>
        <w:tc>
          <w:tcPr>
            <w:tcW w:w="2370" w:type="dxa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 xml:space="preserve">Паливо мастильні матеріали 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tabs>
                <w:tab w:val="left" w:pos="138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100 л.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0,028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2,800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477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Спальний мішок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2,000</w:t>
            </w: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Ліхтарик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0,300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 xml:space="preserve">Прожектор </w:t>
            </w:r>
            <w:proofErr w:type="spellStart"/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світлодіодний</w:t>
            </w:r>
            <w:proofErr w:type="spellEnd"/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0,450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Електрогенератор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6,000</w:t>
            </w: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Оприскувач ранцевий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Куртка зимова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1,000</w:t>
            </w: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Штани зимові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 шт.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0,700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0,350</w:t>
            </w: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Чоботи кирзові</w:t>
            </w:r>
          </w:p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 xml:space="preserve"> 43 розмір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2 пари</w:t>
            </w: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1,600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sz w:val="24"/>
                <w:szCs w:val="24"/>
              </w:rPr>
              <w:t>0,800</w:t>
            </w:r>
          </w:p>
        </w:tc>
      </w:tr>
      <w:tr w:rsidR="00370D46" w:rsidRPr="00B01AD9" w:rsidTr="00D53943">
        <w:trPr>
          <w:trHeight w:val="783"/>
        </w:trPr>
        <w:tc>
          <w:tcPr>
            <w:tcW w:w="23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</w:p>
        </w:tc>
        <w:tc>
          <w:tcPr>
            <w:tcW w:w="1373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4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51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13,560</w:t>
            </w:r>
          </w:p>
        </w:tc>
        <w:tc>
          <w:tcPr>
            <w:tcW w:w="1442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19,550</w:t>
            </w:r>
          </w:p>
        </w:tc>
        <w:tc>
          <w:tcPr>
            <w:tcW w:w="1470" w:type="dxa"/>
            <w:vAlign w:val="center"/>
          </w:tcPr>
          <w:p w:rsidR="00370D46" w:rsidRPr="00B01AD9" w:rsidRDefault="00370D46" w:rsidP="00D539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AD9">
              <w:rPr>
                <w:rFonts w:ascii="Times New Roman" w:hAnsi="Times New Roman" w:cs="Times New Roman"/>
                <w:b/>
                <w:sz w:val="24"/>
                <w:szCs w:val="24"/>
              </w:rPr>
              <w:t>16,150</w:t>
            </w:r>
          </w:p>
        </w:tc>
      </w:tr>
    </w:tbl>
    <w:p w:rsidR="00370D46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5. Економічна ефективність реалізації Програми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Фінансове забезпечення Програми надасть можливість оперативно розгорнути мобільні ветеринарно-поліцейські блокпости в разі виникнення спалаху гостроінфекційних хвороб, крім того існуюча загроза виникнення африканської чуми свиней потребує цілий ряд профілактичних заходів як по недопущенню даної хвороби так її локалізації вразі виникнення.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Виконані профілактичні заходи матимуть економічний ефект в вигляді;</w:t>
      </w:r>
    </w:p>
    <w:p w:rsidR="00370D46" w:rsidRPr="00B01AD9" w:rsidRDefault="00370D46" w:rsidP="00370D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B01AD9">
        <w:rPr>
          <w:rFonts w:ascii="Times New Roman" w:hAnsi="Times New Roman" w:cs="Times New Roman"/>
          <w:sz w:val="24"/>
          <w:szCs w:val="24"/>
        </w:rPr>
        <w:t>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01AD9">
        <w:rPr>
          <w:rFonts w:ascii="Times New Roman" w:hAnsi="Times New Roman" w:cs="Times New Roman"/>
          <w:sz w:val="24"/>
          <w:szCs w:val="24"/>
        </w:rPr>
        <w:t>здоров’я тварин які до цього не підлягали вакцинації і потребували ревакцинації.</w:t>
      </w:r>
    </w:p>
    <w:p w:rsidR="00370D46" w:rsidRPr="00B01AD9" w:rsidRDefault="00370D46" w:rsidP="00370D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унеможливлення контакту людей з хворими на сказ домашніми тваринами.</w:t>
      </w:r>
    </w:p>
    <w:p w:rsidR="00370D46" w:rsidRPr="00B01AD9" w:rsidRDefault="00370D46" w:rsidP="00370D46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недопущення занесення вірусу африканської</w:t>
      </w:r>
      <w:r>
        <w:rPr>
          <w:rFonts w:ascii="Times New Roman" w:hAnsi="Times New Roman" w:cs="Times New Roman"/>
          <w:sz w:val="24"/>
          <w:szCs w:val="24"/>
        </w:rPr>
        <w:t xml:space="preserve"> чуми свиней, шляхом проведення </w:t>
      </w:r>
      <w:r w:rsidRPr="00B01AD9">
        <w:rPr>
          <w:rFonts w:ascii="Times New Roman" w:hAnsi="Times New Roman" w:cs="Times New Roman"/>
          <w:sz w:val="24"/>
          <w:szCs w:val="24"/>
        </w:rPr>
        <w:t>профілактичних заходів, а вразі виникнення швидкої локалізації хвороби та недопущення її розповсюдження;</w:t>
      </w:r>
    </w:p>
    <w:p w:rsidR="00370D46" w:rsidRPr="00B01AD9" w:rsidRDefault="00370D46" w:rsidP="00370D4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Таким чином витративши бюджетні кошти Крупецької об’єднаної територіальної громади ми збережемо поголів’я свиней, великої рогатої худоби не допустивши виникнення спалахів небезпечних хвороб (сказу, лейкозу великої рогатої худоби, африканської чуми свиней).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6. Заходи щодо реалізації Програми.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 xml:space="preserve">Проводити роз’яснювальну роботу серед керівників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свиногосподарств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, власників фермерських господарствах, власників свиней в домогосподарствах приватного сектору. 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Розповсюджувати інформаційні листівки про упередження і недопущення африканської чуми свиней.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 xml:space="preserve">Проводити державною службою ветеринарної медицини району та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Крупецьким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пунктом  ветеринарної медицини, 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Кривинською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дільничною лікарнею ветеринарної медицини, всі заходи з суворим дотриманням санітарно-гігієнічних вимог (спецодяг, спецвзуття, обробка дезінфікуючими засобами).</w:t>
      </w:r>
    </w:p>
    <w:p w:rsidR="00370D46" w:rsidRPr="00B01AD9" w:rsidRDefault="00370D46" w:rsidP="00370D4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Тримати на щоденному контролі ситуацію на території Крупецької об’єднаної територіальної громади щодо захворювання і загибелі домашніх тварин.</w:t>
      </w:r>
    </w:p>
    <w:p w:rsidR="00370D46" w:rsidRPr="00B01AD9" w:rsidRDefault="00370D46" w:rsidP="00370D4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1AD9">
        <w:rPr>
          <w:rFonts w:ascii="Times New Roman" w:hAnsi="Times New Roman" w:cs="Times New Roman"/>
          <w:b/>
          <w:sz w:val="24"/>
          <w:szCs w:val="24"/>
        </w:rPr>
        <w:t>7.Порядок спрямування коштів</w:t>
      </w:r>
    </w:p>
    <w:p w:rsidR="00370D46" w:rsidRPr="00B01AD9" w:rsidRDefault="00370D46" w:rsidP="00370D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B01AD9">
        <w:rPr>
          <w:rFonts w:ascii="Times New Roman" w:hAnsi="Times New Roman" w:cs="Times New Roman"/>
          <w:sz w:val="24"/>
          <w:szCs w:val="24"/>
        </w:rPr>
        <w:t>Головний розпорядник коштів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370D46" w:rsidRPr="00B01AD9" w:rsidRDefault="00370D46" w:rsidP="00370D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ab/>
        <w:t xml:space="preserve">Виконавець цієї Програми є </w:t>
      </w:r>
      <w:proofErr w:type="spellStart"/>
      <w:r w:rsidRPr="00B01AD9">
        <w:rPr>
          <w:rFonts w:ascii="Times New Roman" w:hAnsi="Times New Roman" w:cs="Times New Roman"/>
          <w:sz w:val="24"/>
          <w:szCs w:val="24"/>
        </w:rPr>
        <w:t>Славутська</w:t>
      </w:r>
      <w:proofErr w:type="spellEnd"/>
      <w:r w:rsidRPr="00B01AD9">
        <w:rPr>
          <w:rFonts w:ascii="Times New Roman" w:hAnsi="Times New Roman" w:cs="Times New Roman"/>
          <w:sz w:val="24"/>
          <w:szCs w:val="24"/>
        </w:rPr>
        <w:t xml:space="preserve"> районна державна лікарня ветеринарної медицини.</w:t>
      </w:r>
    </w:p>
    <w:p w:rsidR="00370D46" w:rsidRDefault="00370D46" w:rsidP="00370D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01AD9">
        <w:rPr>
          <w:rFonts w:ascii="Times New Roman" w:hAnsi="Times New Roman" w:cs="Times New Roman"/>
          <w:sz w:val="24"/>
          <w:szCs w:val="24"/>
        </w:rPr>
        <w:t>Фінансова звітність подається в установленому законодавством поря</w:t>
      </w:r>
      <w:r>
        <w:rPr>
          <w:rFonts w:ascii="Times New Roman" w:hAnsi="Times New Roman" w:cs="Times New Roman"/>
          <w:sz w:val="24"/>
          <w:szCs w:val="24"/>
        </w:rPr>
        <w:t>дку</w:t>
      </w:r>
    </w:p>
    <w:p w:rsidR="00370D46" w:rsidRDefault="00370D46" w:rsidP="00370D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EC5" w:rsidRPr="00370D46" w:rsidRDefault="00370D46" w:rsidP="00370D4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A22EC5" w:rsidRPr="00370D46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BB6587"/>
    <w:multiLevelType w:val="hybridMultilevel"/>
    <w:tmpl w:val="F8D804FC"/>
    <w:lvl w:ilvl="0" w:tplc="518A709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70D46"/>
    <w:rsid w:val="00370D46"/>
    <w:rsid w:val="00576DB8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D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3">
    <w:name w:val="Font Style13"/>
    <w:rsid w:val="00370D46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link w:val="a4"/>
    <w:uiPriority w:val="1"/>
    <w:qFormat/>
    <w:rsid w:val="00370D46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4">
    <w:name w:val="Без интервала Знак"/>
    <w:link w:val="a3"/>
    <w:uiPriority w:val="1"/>
    <w:rsid w:val="00370D46"/>
    <w:rPr>
      <w:rFonts w:ascii="Calibri" w:eastAsia="Calibri" w:hAnsi="Calibri" w:cs="Times New Roman"/>
      <w:lang w:val="uk-UA"/>
    </w:rPr>
  </w:style>
  <w:style w:type="table" w:styleId="a5">
    <w:name w:val="Table Grid"/>
    <w:basedOn w:val="a1"/>
    <w:uiPriority w:val="59"/>
    <w:rsid w:val="00370D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lock Text"/>
    <w:basedOn w:val="a"/>
    <w:rsid w:val="00370D46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1355</Words>
  <Characters>7725</Characters>
  <Application>Microsoft Office Word</Application>
  <DocSecurity>0</DocSecurity>
  <Lines>64</Lines>
  <Paragraphs>18</Paragraphs>
  <ScaleCrop>false</ScaleCrop>
  <Company>Home</Company>
  <LinksUpToDate>false</LinksUpToDate>
  <CharactersWithSpaces>9062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2019-09-25T10:24:00Z</dcterms:created>
  <dcterms:modified xsi:type="dcterms:W3CDTF">2019-09-25T10:24:00Z</dcterms:modified>
</cp:coreProperties>
</file>