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5C" w:rsidRDefault="0008175C" w:rsidP="00FE55A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ПРОЕКТ</w:t>
      </w:r>
    </w:p>
    <w:p w:rsidR="0008175C" w:rsidRDefault="0008175C" w:rsidP="0008175C">
      <w:pPr>
        <w:spacing w:after="0"/>
        <w:rPr>
          <w:rFonts w:ascii="Times New Roman" w:hAnsi="Times New Roman" w:cs="Times New Roman"/>
        </w:rPr>
      </w:pPr>
    </w:p>
    <w:p w:rsidR="0008175C" w:rsidRDefault="00FE55A3" w:rsidP="0008175C">
      <w:pPr>
        <w:rPr>
          <w:rFonts w:ascii="Times New Roman" w:hAnsi="Times New Roman" w:cs="Times New Roman"/>
          <w:sz w:val="24"/>
          <w:szCs w:val="24"/>
        </w:rPr>
      </w:pPr>
      <w:r>
        <w:pict>
          <v:group id="_x0000_s1151" style="position:absolute;margin-left:215.85pt;margin-top:5.9pt;width:34pt;height:48.2pt;z-index:2516654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5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5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5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5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6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6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6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6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6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7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7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7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7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7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7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7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7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7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8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8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8175C" w:rsidRDefault="0008175C" w:rsidP="000817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року                                            Крупець                                              №</w:t>
      </w:r>
    </w:p>
    <w:p w:rsidR="0008175C" w:rsidRDefault="0008175C" w:rsidP="0008175C"/>
    <w:p w:rsidR="0008175C" w:rsidRDefault="0008175C" w:rsidP="000817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sz w:val="24"/>
        </w:rPr>
      </w:pPr>
      <w:r>
        <w:rPr>
          <w:bCs/>
          <w:sz w:val="24"/>
        </w:rPr>
        <w:t xml:space="preserve">Про порядок </w:t>
      </w:r>
      <w:proofErr w:type="spellStart"/>
      <w:r>
        <w:rPr>
          <w:bCs/>
          <w:sz w:val="24"/>
        </w:rPr>
        <w:t>залучення</w:t>
      </w:r>
      <w:proofErr w:type="spellEnd"/>
      <w:r>
        <w:rPr>
          <w:bCs/>
          <w:sz w:val="24"/>
        </w:rPr>
        <w:t xml:space="preserve">, </w:t>
      </w:r>
      <w:proofErr w:type="spellStart"/>
      <w:r>
        <w:rPr>
          <w:bCs/>
          <w:sz w:val="24"/>
        </w:rPr>
        <w:t>розрахунку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розміру</w:t>
      </w:r>
      <w:proofErr w:type="spellEnd"/>
      <w:r>
        <w:rPr>
          <w:bCs/>
          <w:sz w:val="24"/>
        </w:rPr>
        <w:t xml:space="preserve"> і </w:t>
      </w:r>
    </w:p>
    <w:p w:rsidR="0008175C" w:rsidRDefault="0008175C" w:rsidP="000817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sz w:val="24"/>
        </w:rPr>
      </w:pPr>
      <w:proofErr w:type="spellStart"/>
      <w:r>
        <w:rPr>
          <w:bCs/>
          <w:sz w:val="24"/>
        </w:rPr>
        <w:t>використання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коштів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пайової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участі</w:t>
      </w:r>
      <w:proofErr w:type="spellEnd"/>
      <w:r>
        <w:rPr>
          <w:bCs/>
          <w:sz w:val="24"/>
        </w:rPr>
        <w:t xml:space="preserve"> у </w:t>
      </w:r>
      <w:proofErr w:type="spellStart"/>
      <w:r>
        <w:rPr>
          <w:bCs/>
          <w:sz w:val="24"/>
        </w:rPr>
        <w:t>розвитку</w:t>
      </w:r>
      <w:proofErr w:type="spellEnd"/>
      <w:r>
        <w:rPr>
          <w:bCs/>
          <w:sz w:val="24"/>
        </w:rPr>
        <w:t xml:space="preserve"> </w:t>
      </w:r>
    </w:p>
    <w:p w:rsidR="0008175C" w:rsidRDefault="0008175C" w:rsidP="000817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</w:rPr>
      </w:pPr>
      <w:proofErr w:type="spellStart"/>
      <w:r>
        <w:rPr>
          <w:bCs/>
          <w:sz w:val="24"/>
        </w:rPr>
        <w:t>інфраструктури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населених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пунктів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Крупецької</w:t>
      </w:r>
      <w:proofErr w:type="spellEnd"/>
      <w:r>
        <w:rPr>
          <w:bCs/>
          <w:sz w:val="24"/>
        </w:rPr>
        <w:t xml:space="preserve"> </w:t>
      </w:r>
    </w:p>
    <w:p w:rsidR="0008175C" w:rsidRDefault="0008175C" w:rsidP="000817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</w:rPr>
      </w:pPr>
      <w:proofErr w:type="spellStart"/>
      <w:r>
        <w:rPr>
          <w:bCs/>
          <w:sz w:val="24"/>
        </w:rPr>
        <w:t>сільської</w:t>
      </w:r>
      <w:proofErr w:type="spellEnd"/>
      <w:r>
        <w:rPr>
          <w:bCs/>
          <w:sz w:val="24"/>
        </w:rPr>
        <w:t xml:space="preserve"> ради </w:t>
      </w:r>
      <w:proofErr w:type="spellStart"/>
      <w:r>
        <w:rPr>
          <w:bCs/>
          <w:sz w:val="24"/>
        </w:rPr>
        <w:t>Славутського</w:t>
      </w:r>
      <w:proofErr w:type="spellEnd"/>
      <w:r>
        <w:rPr>
          <w:bCs/>
          <w:sz w:val="24"/>
        </w:rPr>
        <w:t xml:space="preserve"> району</w:t>
      </w:r>
    </w:p>
    <w:p w:rsidR="0008175C" w:rsidRDefault="0008175C" w:rsidP="000817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 w:val="0"/>
          <w:bCs/>
          <w:sz w:val="24"/>
        </w:rPr>
      </w:pPr>
      <w:proofErr w:type="spellStart"/>
      <w:r>
        <w:rPr>
          <w:bCs/>
          <w:sz w:val="24"/>
        </w:rPr>
        <w:t>Хмельницької</w:t>
      </w:r>
      <w:proofErr w:type="spellEnd"/>
      <w:r>
        <w:rPr>
          <w:bCs/>
          <w:sz w:val="24"/>
        </w:rPr>
        <w:t xml:space="preserve"> </w:t>
      </w:r>
      <w:proofErr w:type="spellStart"/>
      <w:r>
        <w:rPr>
          <w:bCs/>
          <w:sz w:val="24"/>
        </w:rPr>
        <w:t>області</w:t>
      </w:r>
      <w:proofErr w:type="spellEnd"/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Відповідно до статті 25 Закону України «Про місцеве самоврядування в Україні», статті 40 Закону України «Про регулювання містобудівної діяльності</w:t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», </w:t>
      </w:r>
      <w:r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наказу Міністерства регіонального розвитку, будівництва та житлово-комунального господарства України  від 06 грудня 2018 року № 335 «Про показники опосередкованої вартості спорудження житла за регіонами України», з метою компенсації витрат сільського бюджету на відтворення інженерно-транспортної та соціальної інфраструктури, створення системи</w:t>
      </w:r>
      <w:r>
        <w:rPr>
          <w:rFonts w:ascii="Times New Roman" w:hAnsi="Times New Roman"/>
          <w:sz w:val="24"/>
          <w:szCs w:val="24"/>
        </w:rPr>
        <w:t xml:space="preserve"> реалізації норм чинного законодавства щодо залучення замовників (забудовників) до благоустрою територій населених пунктів об’єднаної громади, сільська рада 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ВИРІШИЛА: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Затвердити: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1.1. Порядок залучення, розрахунку розміру і використання коштів пайової участі у розвитку інфраструктури населених пунктів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 згідно з додатком №1.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            1.2. Примірний договір про пайову участь у розвитку інфраструктури населених пунктів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 згідно з додатком №2. 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.3. Порядок розрахунку пайової участі замовників у розвитку інфраструктури населених пунктів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 у разі будівництва (реконструкції) об’єктів, загальна  кошторисна вартість яких згідно з будівельними нормами, державними стандартами і правилами не визначена, згідно з додатком №3.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Вважати такими, що втратили чинність рішення: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-  рішення двадцять другої сесії Полянської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 скликання від 01 червня 2013 року № 5 «Про затвердження Положення про пайову участь у створенні і розвитку інженерно-транспортної та соціальної інфраструктури Полянської сільської ради»;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рішення тридцять другої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 скликання від 17 травня 2013 року № 5 «Про затвердження Положення про пайову участь у створенні і розвитку інженерно-транспортної та соціальної інфраструктури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ради»;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 Рішення набирає чинності з моменту його офіційного оприлюднення.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4. </w:t>
      </w:r>
      <w:r>
        <w:rPr>
          <w:rFonts w:ascii="Times New Roman" w:hAnsi="Times New Roman"/>
          <w:color w:val="000000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Качаровська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О.В.).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pStyle w:val="HTML"/>
        <w:spacing w:line="276" w:lineRule="auto"/>
        <w:ind w:leftChars="2303" w:left="5067" w:firstLine="2"/>
        <w:jc w:val="both"/>
        <w:rPr>
          <w:rFonts w:ascii="Times New Roman" w:eastAsia="Times New Roman" w:hAnsi="Times New Roman"/>
          <w:color w:val="000000"/>
          <w:lang w:val="uk-UA" w:eastAsia="ru-RU"/>
        </w:rPr>
      </w:pPr>
      <w:r>
        <w:rPr>
          <w:rFonts w:ascii="Times New Roman" w:eastAsia="Times New Roman" w:hAnsi="Times New Roman"/>
          <w:color w:val="000000"/>
          <w:lang w:val="uk-UA" w:eastAsia="ru-RU"/>
        </w:rPr>
        <w:t>ЗАТВЕРДЖЕНО</w:t>
      </w:r>
    </w:p>
    <w:p w:rsidR="0008175C" w:rsidRDefault="0008175C" w:rsidP="0008175C">
      <w:pPr>
        <w:pStyle w:val="HTML"/>
        <w:spacing w:line="276" w:lineRule="auto"/>
        <w:ind w:leftChars="2303" w:left="5067" w:firstLine="2"/>
        <w:jc w:val="both"/>
        <w:rPr>
          <w:rFonts w:ascii="Times New Roman" w:eastAsia="Times New Roman" w:hAnsi="Times New Roman"/>
          <w:color w:val="000000"/>
          <w:lang w:val="uk-UA" w:eastAsia="ru-RU"/>
        </w:rPr>
      </w:pPr>
      <w:r>
        <w:rPr>
          <w:rFonts w:ascii="Times New Roman" w:eastAsia="Times New Roman" w:hAnsi="Times New Roman"/>
          <w:color w:val="000000"/>
          <w:lang w:val="uk-UA" w:eastAsia="ru-RU"/>
        </w:rPr>
        <w:t xml:space="preserve">Додаток №1 </w:t>
      </w:r>
    </w:p>
    <w:p w:rsidR="0008175C" w:rsidRDefault="0008175C" w:rsidP="0008175C">
      <w:pPr>
        <w:pStyle w:val="HTML"/>
        <w:spacing w:line="276" w:lineRule="auto"/>
        <w:ind w:leftChars="2303" w:left="5067" w:firstLine="2"/>
        <w:jc w:val="both"/>
        <w:rPr>
          <w:rFonts w:ascii="Times New Roman" w:eastAsia="Times New Roman" w:hAnsi="Times New Roman"/>
          <w:color w:val="000000"/>
          <w:lang w:val="uk-UA" w:eastAsia="ru-RU"/>
        </w:rPr>
      </w:pPr>
      <w:r>
        <w:rPr>
          <w:rFonts w:ascii="Times New Roman" w:eastAsia="Times New Roman" w:hAnsi="Times New Roman"/>
          <w:color w:val="000000"/>
          <w:lang w:val="uk-UA" w:eastAsia="ru-RU"/>
        </w:rPr>
        <w:t xml:space="preserve">до рішення </w:t>
      </w:r>
      <w:r>
        <w:rPr>
          <w:rFonts w:ascii="Times New Roman" w:eastAsia="Arial Unicode MS" w:hAnsi="Times New Roman"/>
          <w:color w:val="000000"/>
          <w:lang w:val="uk-UA"/>
        </w:rPr>
        <w:t>ХХ</w:t>
      </w:r>
      <w:r>
        <w:rPr>
          <w:rFonts w:ascii="Times New Roman" w:eastAsia="Arial Unicode MS" w:hAnsi="Times New Roman"/>
          <w:color w:val="000000"/>
        </w:rPr>
        <w:t>V</w:t>
      </w:r>
      <w:r>
        <w:rPr>
          <w:rFonts w:ascii="Times New Roman" w:eastAsia="Arial Unicode MS" w:hAnsi="Times New Roman"/>
          <w:color w:val="000000"/>
          <w:lang w:val="uk-UA"/>
        </w:rPr>
        <w:t>І</w:t>
      </w:r>
      <w:r>
        <w:rPr>
          <w:rFonts w:ascii="Times New Roman" w:eastAsia="Times New Roman" w:hAnsi="Times New Roman"/>
          <w:color w:val="000000"/>
          <w:lang w:val="uk-UA" w:eastAsia="ru-RU"/>
        </w:rPr>
        <w:t xml:space="preserve">  сесії </w:t>
      </w:r>
      <w:proofErr w:type="spellStart"/>
      <w:r>
        <w:rPr>
          <w:rFonts w:ascii="Times New Roman" w:eastAsia="Times New Roman" w:hAnsi="Times New Roman"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color w:val="000000"/>
          <w:lang w:val="uk-UA" w:eastAsia="ru-RU"/>
        </w:rPr>
        <w:t xml:space="preserve"> сільської ради VІІ скликання </w:t>
      </w:r>
    </w:p>
    <w:p w:rsidR="0008175C" w:rsidRDefault="0008175C" w:rsidP="0008175C">
      <w:pPr>
        <w:pStyle w:val="HTML"/>
        <w:spacing w:line="276" w:lineRule="auto"/>
        <w:ind w:leftChars="2303" w:left="5067" w:firstLine="2"/>
        <w:jc w:val="both"/>
        <w:rPr>
          <w:rFonts w:ascii="Times New Roman" w:eastAsia="Times New Roman" w:hAnsi="Times New Roman"/>
          <w:color w:val="000000"/>
          <w:lang w:val="uk-UA" w:eastAsia="ru-RU"/>
        </w:rPr>
      </w:pPr>
      <w:r>
        <w:rPr>
          <w:rFonts w:ascii="Times New Roman" w:eastAsia="Times New Roman" w:hAnsi="Times New Roman"/>
          <w:color w:val="000000"/>
          <w:lang w:val="uk-UA" w:eastAsia="ru-RU"/>
        </w:rPr>
        <w:t>від ___.___.2019 №___</w:t>
      </w:r>
    </w:p>
    <w:p w:rsidR="0008175C" w:rsidRDefault="0008175C" w:rsidP="0008175C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ПОРЯДОК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залучення, розрахунку розміру і використання коштів пайової участі у розвиток інфраструктури населених пунктів </w:t>
      </w:r>
      <w:proofErr w:type="spellStart"/>
      <w:r>
        <w:rPr>
          <w:b/>
          <w:sz w:val="24"/>
          <w:szCs w:val="24"/>
        </w:rPr>
        <w:t>Крупецької</w:t>
      </w:r>
      <w:proofErr w:type="spellEnd"/>
      <w:r>
        <w:rPr>
          <w:b/>
          <w:sz w:val="24"/>
          <w:szCs w:val="24"/>
        </w:rPr>
        <w:t xml:space="preserve"> сільської ради </w:t>
      </w:r>
      <w:proofErr w:type="spellStart"/>
      <w:r>
        <w:rPr>
          <w:b/>
          <w:sz w:val="24"/>
          <w:szCs w:val="24"/>
        </w:rPr>
        <w:t>Славутського</w:t>
      </w:r>
      <w:proofErr w:type="spellEnd"/>
      <w:r>
        <w:rPr>
          <w:b/>
          <w:sz w:val="24"/>
          <w:szCs w:val="24"/>
        </w:rPr>
        <w:t xml:space="preserve"> району Хмельницької області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both"/>
        <w:rPr>
          <w:b/>
          <w:sz w:val="24"/>
          <w:szCs w:val="24"/>
          <w:u w:val="single"/>
        </w:rPr>
      </w:pPr>
    </w:p>
    <w:p w:rsidR="0008175C" w:rsidRDefault="0008175C" w:rsidP="0008175C">
      <w:pPr>
        <w:pStyle w:val="a4"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</w:rPr>
        <w:t>Загальні положення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Цей Порядок регулює організаційні та економічні відносини, пов`язані з залученням, розрахунком розміру, використанням коштів пайової участі замовників будівництва, реконструкції, реставрації, капітального ремонту (далі - будівництво) у розвитку інженерно-транспортної та соціальної інфраструктури населених пунктів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</w:t>
      </w:r>
      <w:proofErr w:type="spellStart"/>
      <w:r>
        <w:rPr>
          <w:sz w:val="24"/>
          <w:szCs w:val="24"/>
        </w:rPr>
        <w:t>Славутського</w:t>
      </w:r>
      <w:proofErr w:type="spellEnd"/>
      <w:r>
        <w:rPr>
          <w:sz w:val="24"/>
          <w:szCs w:val="24"/>
        </w:rPr>
        <w:t xml:space="preserve"> району Хмельницької області (далі – сільська рада) та укладання договорів про пайову участь у розвитку інфраструктури населених пунктів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</w:t>
      </w:r>
      <w:proofErr w:type="spellStart"/>
      <w:r>
        <w:rPr>
          <w:sz w:val="24"/>
          <w:szCs w:val="24"/>
        </w:rPr>
        <w:t>Славутського</w:t>
      </w:r>
      <w:proofErr w:type="spellEnd"/>
      <w:r>
        <w:rPr>
          <w:sz w:val="24"/>
          <w:szCs w:val="24"/>
        </w:rPr>
        <w:t xml:space="preserve"> району Хмельницької області (далі – Договір про пайову участь)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1.2. У цьому Положенні терміни вживаються у такому значенні: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Будівництво — нове будівництво, реконструкція, технічне переоснащення, реставрація та капітальний ремонт об'єктів будівництва;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Об’єкт будівництва - будинки, будівлі, споруди будь-якого призначення, їх комплекси та/або частини, лінійні об’єкти інженерно-транспортної інфраструктури;</w:t>
      </w:r>
    </w:p>
    <w:p w:rsidR="0008175C" w:rsidRDefault="00FE55A3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hyperlink r:id="rId6" w:anchor="w12" w:history="1">
        <w:r w:rsidR="0008175C">
          <w:rPr>
            <w:rStyle w:val="af1"/>
            <w:rFonts w:eastAsia="SimSun"/>
          </w:rPr>
          <w:t>інженерно</w:t>
        </w:r>
      </w:hyperlink>
      <w:r w:rsidR="0008175C">
        <w:rPr>
          <w:sz w:val="24"/>
          <w:szCs w:val="24"/>
        </w:rPr>
        <w:t xml:space="preserve"> - транспортна інфраструктура - комплекс інженерних, транспортних споруд і комунікацій;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соціальна інфраструктура – об’єкти некомерційного призначення такі, як: установи освіти, охорони здоров’я,  соціального забезпечення, спортивні та фізкультурно-оздоровчі установи, установи культури і мистецтва, установи житлово-комунального господарства;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>замовник - фізична або юридична особа, яка має намір щодо забудови території (однієї чи декількох земельних ділянок) і подала в установленому законодавством порядку відповідну заяву;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пайова участь у розвитку інфраструктури населених пунктів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</w:t>
      </w:r>
      <w:proofErr w:type="spellStart"/>
      <w:r>
        <w:rPr>
          <w:sz w:val="24"/>
          <w:szCs w:val="24"/>
        </w:rPr>
        <w:t>Славутського</w:t>
      </w:r>
      <w:proofErr w:type="spellEnd"/>
      <w:r>
        <w:rPr>
          <w:sz w:val="24"/>
          <w:szCs w:val="24"/>
        </w:rPr>
        <w:t xml:space="preserve"> району Хмельницької області – внесок, що полягає у перерахуванні замовником до прийняття об’єкта будівництва в експлуатацію до сільського бюджету коштів для створення і розвитку інженерно-транспортної та соціальної інфраструктури населених пунктів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об’єднаної територіальної громади (далі – пайова участь).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проектна документація - затверджені текстові та графічні матеріали, якими визначаються містобудівні, об’ємно-планувальні, архітектурні, конструктивні, технічні, технологічні вирішення, а також кошториси об’єктів будівництва.</w:t>
      </w:r>
    </w:p>
    <w:p w:rsidR="0008175C" w:rsidRDefault="0008175C" w:rsidP="0008175C">
      <w:pPr>
        <w:pStyle w:val="a4"/>
        <w:numPr>
          <w:ilvl w:val="1"/>
          <w:numId w:val="46"/>
        </w:num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Замовник, який має намір щодо забудови земельної ділянки у населених пунктах сільської ради  зобов`язаний взяти участь у створенні і розвитку інженерно-транспортної та соціальної інфраструктури цих населених пунктів, крім випадків, передбачених чинним законодавством та цим Порядком.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1.4. До пайової участі у розвитку інфраструктури населених пунктів сільської ради не залучаються замовники у разі будівництва: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1) об’єктів будь-якого призначення на замовлення державних органів або органів місцевого самоврядування за рахунок коштів державного або місцевих бюджетів;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2) будівель навчальних закладів, закладів культури, фізичної культури і спорту, медичного і оздоровчого призначення;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будинків житлового фонду соціального призначення та доступного житла;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індивідуальних (садибних) житлових будинків, садових, дачних будинків загальною площею до 300 квадратних метрів, господарських споруд, розташованих на відповідних земельних ділянках;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об’єктів комплексної забудови територій, що здійснюється за результатами інвестиційних конкурсів або аукціонів;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6) об’єктів будівництва за умови спорудження на цій земельній ділянці об’єктів соціальної інфраструктури;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7) об’єктів, що споруджуються замість тих, що пошкоджені або зруйновані внаслідок надзвичайних ситуацій техногенного або природного характеру;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8) об’єктів, передбачених </w:t>
      </w:r>
      <w:hyperlink r:id="rId7" w:tgtFrame="_blank" w:history="1">
        <w:r>
          <w:rPr>
            <w:rStyle w:val="af1"/>
            <w:rFonts w:eastAsia="Calibri"/>
            <w:lang w:eastAsia="en-US"/>
          </w:rPr>
          <w:t>Державною цільовою програмою підготовки та проведення в Україні фінальної частини чемпіонату Європи 2012 року з футболу</w:t>
        </w:r>
      </w:hyperlink>
      <w:r>
        <w:rPr>
          <w:rFonts w:eastAsia="Calibri"/>
          <w:lang w:eastAsia="en-US"/>
        </w:rPr>
        <w:t>, за рахунок коштів інвесторів;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9) об’єктів інженерної, транспортної інфраструктури, об’єктів енергетики, зв’язку та дорожнього господарства (крім об’єктів дорожнього сервісу);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10) об’єктів у межах індустріальних парків на замовлення ініціаторів створення індустріальних парків, керуючих компаній індустріальних парків, учасників індустріальних парків;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11) об’єктів, які згідно з державним класифікатором будівель та споруд належать до будівель сільськогосподарського призначення;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12) об’єктів, які згідно з державним класифікатором будівель та споруд належать до будівель і споруд підприємств харчової промисловості;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13) об’єктів, які згідно з державним класифікатором будівель та споруд належать до </w:t>
      </w:r>
      <w:proofErr w:type="spellStart"/>
      <w:r>
        <w:rPr>
          <w:rFonts w:eastAsia="Calibri"/>
          <w:lang w:eastAsia="en-US"/>
        </w:rPr>
        <w:t>силосів</w:t>
      </w:r>
      <w:proofErr w:type="spellEnd"/>
      <w:r>
        <w:rPr>
          <w:rFonts w:eastAsia="Calibri"/>
          <w:lang w:eastAsia="en-US"/>
        </w:rPr>
        <w:t xml:space="preserve"> для зерна та складських майданчиків (для зберігання сільськогосподарської продукції);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426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14) об’єктів, які згідно з державним класифікатором будівель та споруд належать до будівель сільськогосподарського</w:t>
      </w:r>
      <w:r>
        <w:rPr>
          <w:color w:val="000000"/>
          <w:sz w:val="16"/>
          <w:szCs w:val="16"/>
          <w:shd w:val="clear" w:color="auto" w:fill="FFFFFF"/>
        </w:rPr>
        <w:t xml:space="preserve"> </w:t>
      </w:r>
      <w:r>
        <w:rPr>
          <w:rFonts w:eastAsia="Calibri"/>
          <w:lang w:eastAsia="en-US"/>
        </w:rPr>
        <w:t>призначення.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284" w:firstLine="284"/>
        <w:jc w:val="both"/>
        <w:rPr>
          <w:rFonts w:eastAsia="SimSun"/>
          <w:sz w:val="24"/>
          <w:szCs w:val="24"/>
          <w:lang w:eastAsia="hi-IN"/>
        </w:rPr>
      </w:pPr>
    </w:p>
    <w:p w:rsidR="0008175C" w:rsidRDefault="0008175C" w:rsidP="0008175C">
      <w:pPr>
        <w:pStyle w:val="a4"/>
        <w:numPr>
          <w:ilvl w:val="0"/>
          <w:numId w:val="47"/>
        </w:numPr>
        <w:spacing w:line="276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Розрахунок розміру та порядок сплати пайової участі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rFonts w:eastAsiaTheme="minorEastAsia"/>
          <w:sz w:val="24"/>
          <w:szCs w:val="24"/>
        </w:rPr>
      </w:pPr>
      <w:r>
        <w:rPr>
          <w:sz w:val="24"/>
          <w:szCs w:val="24"/>
        </w:rPr>
        <w:t xml:space="preserve">2.1. Пайова участь Замовника у створені і розвитку інженерно-транспортної та соціальної інфраструктури населених пунктів сільської ради полягає у перерахунку до сільського бюджету коштів відповідно до Договору про пайову участь у розвитку інфраструктури населених пунктів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ради </w:t>
      </w:r>
      <w:proofErr w:type="spellStart"/>
      <w:r>
        <w:rPr>
          <w:sz w:val="24"/>
          <w:szCs w:val="24"/>
        </w:rPr>
        <w:t>Славутського</w:t>
      </w:r>
      <w:proofErr w:type="spellEnd"/>
      <w:r>
        <w:rPr>
          <w:sz w:val="24"/>
          <w:szCs w:val="24"/>
        </w:rPr>
        <w:t xml:space="preserve"> району Хмельницької області (далі – Договір про пайову участь).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 Величина пайової участі визначається у Договорі про пайову участь,  укладеному з сільською радою (відповідно до встановленого сільською радою розміру пайової участі), з урахуванням загальної кошторисної вартості будівництва об’єкта, визначеної згідно з будівельними нормами, державними стандартами і правилами. При цьому не враховуються витрати на придбання та виділення земельної ділянки, звільнення будівельного майданчика від будівель, споруд та інженерних мереж, влаштування внутрішніх і </w:t>
      </w:r>
      <w:proofErr w:type="spellStart"/>
      <w:r>
        <w:rPr>
          <w:sz w:val="24"/>
          <w:szCs w:val="24"/>
        </w:rPr>
        <w:t>позамайданчикових</w:t>
      </w:r>
      <w:proofErr w:type="spellEnd"/>
      <w:r>
        <w:rPr>
          <w:sz w:val="24"/>
          <w:szCs w:val="24"/>
        </w:rPr>
        <w:t xml:space="preserve"> інженерних мереж і споруд та транспортних комунікацій.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2.3. У разі якщо загальна кошторисна вартість будівництва об’єкта не визначена згідно з будівельними нормами, державними стандартами і правилами, вона визначається на основі встановлених сільською радою нормативів для одиниці створеної потужності.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2.4. Розмір пайової участі, з урахуванням інших передбачених законом відрахувань, становить: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1) 8 відсотків загальної кошторисної вартості будівництва об’єкта - для нежитлових будівель та споруд;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2) 3 відсотки загальної кошторисної вартості будівництва об’єкта - для житлових будинків.</w:t>
      </w:r>
    </w:p>
    <w:p w:rsidR="0008175C" w:rsidRDefault="0008175C" w:rsidP="0008175C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84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2.5. Розрахунок розміру пайової участі визначається за формулою:</w:t>
      </w:r>
    </w:p>
    <w:p w:rsidR="0008175C" w:rsidRDefault="0008175C" w:rsidP="0008175C">
      <w:pPr>
        <w:pStyle w:val="aligncenter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П = (З - З буд. інші) х В, де: </w:t>
      </w:r>
    </w:p>
    <w:p w:rsidR="0008175C" w:rsidRDefault="0008175C" w:rsidP="0008175C">
      <w:pPr>
        <w:pStyle w:val="aligncenter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П</w:t>
      </w:r>
      <w:r>
        <w:rPr>
          <w:rFonts w:eastAsia="Calibri"/>
          <w:lang w:eastAsia="en-US"/>
        </w:rPr>
        <w:t xml:space="preserve"> – розмір пайової участі у грошовому виразі, (грн.);</w:t>
      </w:r>
    </w:p>
    <w:p w:rsidR="0008175C" w:rsidRDefault="0008175C" w:rsidP="0008175C">
      <w:pPr>
        <w:pStyle w:val="indent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00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</w:t>
      </w:r>
      <w:r>
        <w:rPr>
          <w:rFonts w:eastAsia="Calibri"/>
          <w:lang w:eastAsia="en-US"/>
        </w:rPr>
        <w:t xml:space="preserve"> – загальна кошторисна вартість будівництва об’єкта відповідно до зведеного кошторисного розрахунку вартості будівництва (реконструкції) об’єкта містобудування, грн.;</w:t>
      </w:r>
    </w:p>
    <w:p w:rsidR="0008175C" w:rsidRDefault="0008175C" w:rsidP="0008175C">
      <w:pPr>
        <w:pStyle w:val="indent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00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З буд. інші</w:t>
      </w:r>
      <w:r>
        <w:rPr>
          <w:rFonts w:eastAsia="Calibri"/>
          <w:lang w:eastAsia="en-US"/>
        </w:rPr>
        <w:t xml:space="preserve"> – витрати на придбання та виділення земельної ділянки, звільнення будівельного майданчика від будівель, споруд та інженерних мереж, влаштування внутрішніх і поза майданчикових інженерних мереж і споруд та транспортних комунікацій, грн.;</w:t>
      </w:r>
    </w:p>
    <w:p w:rsidR="0008175C" w:rsidRDefault="0008175C" w:rsidP="0008175C">
      <w:pPr>
        <w:pStyle w:val="indent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 w:line="276" w:lineRule="auto"/>
        <w:ind w:firstLine="200"/>
        <w:jc w:val="both"/>
        <w:textAlignment w:val="baseline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>В</w:t>
      </w:r>
      <w:r>
        <w:rPr>
          <w:rFonts w:eastAsia="Calibri"/>
          <w:lang w:eastAsia="en-US"/>
        </w:rPr>
        <w:t xml:space="preserve"> – розмір відсотка, встановлений цим Порядком.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2.6. Розмір пайової участі визначається протягом десяти робочих днів з дня звернення замовника до сільської щодо укладення договору про пайову участь та доданих до нього документів, що підтверджують вартість будівництва об’єкта, з техніко-економічними показниками.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val="ru-RU" w:eastAsia="en-US"/>
        </w:rPr>
      </w:pPr>
      <w:r>
        <w:rPr>
          <w:rFonts w:eastAsia="Calibri"/>
          <w:lang w:eastAsia="en-US"/>
        </w:rPr>
        <w:t>2.7. У разі зміни замовника розмір пайової участі у розвитку інфраструктури населеного пункту зменшується на суму коштів, сплачених попереднім замовником відповідно до укладеного ним договору про пайову участь.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2.8. Кошти пайової участі у розвитку інфраструктури населеного пункту сплачуються в повному обсязі до прийняття об’єкта будівництва в експлуатацію єдиним платежем або частинами за графіком, що визначається договором.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360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>3. Договір про пайову участь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3.1.  Договір про пайову участь укладається не пізніше ніж через 15 робочих днів з дня звернення замовника про його укладення, але до прийняття об’єкта будівництва в експлуатацію.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3.2. Істотними умовами договору є: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1) розмір пайової участі;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2) строк (графік) сплати пайової участі;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відповідальність сторін.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3.3. Невід’ємною частиною договору є розрахунок величини пайової участі у розвитку інфраструктури населеного пункту.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lang w:eastAsia="uk-UA"/>
        </w:rPr>
      </w:pPr>
      <w:r>
        <w:rPr>
          <w:rFonts w:eastAsia="Calibri"/>
          <w:lang w:eastAsia="en-US"/>
        </w:rPr>
        <w:t xml:space="preserve">3.4. Договір про пайову участь укладається між сільською радою та замовником з дотриманням вимог </w:t>
      </w:r>
      <w:r>
        <w:t xml:space="preserve">Примірного договору про пайову участь у розвитку інфраструктури населених пунктів </w:t>
      </w:r>
      <w:proofErr w:type="spellStart"/>
      <w:r>
        <w:t>Крупецької</w:t>
      </w:r>
      <w:proofErr w:type="spellEnd"/>
      <w:r>
        <w:t xml:space="preserve"> сільської ради </w:t>
      </w:r>
      <w:proofErr w:type="spellStart"/>
      <w:r>
        <w:t>Славутського</w:t>
      </w:r>
      <w:proofErr w:type="spellEnd"/>
      <w:r>
        <w:t xml:space="preserve"> району Хмельницької області, затвердженого рішенням сільської ради.</w:t>
      </w:r>
    </w:p>
    <w:p w:rsidR="0008175C" w:rsidRDefault="0008175C" w:rsidP="0008175C">
      <w:pPr>
        <w:pStyle w:val="rvps2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 w:line="276" w:lineRule="auto"/>
        <w:ind w:firstLine="300"/>
        <w:jc w:val="both"/>
        <w:rPr>
          <w:rFonts w:eastAsia="Calibri"/>
          <w:lang w:eastAsia="en-US"/>
        </w:rPr>
      </w:pPr>
    </w:p>
    <w:p w:rsidR="0008175C" w:rsidRDefault="0008175C" w:rsidP="0008175C">
      <w:pPr>
        <w:pStyle w:val="a4"/>
        <w:numPr>
          <w:ilvl w:val="0"/>
          <w:numId w:val="48"/>
        </w:num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eastAsia="Calibri"/>
          <w:b/>
          <w:sz w:val="24"/>
          <w:szCs w:val="24"/>
          <w:lang w:eastAsia="en-US"/>
        </w:rPr>
      </w:pPr>
      <w:r>
        <w:rPr>
          <w:b/>
          <w:sz w:val="24"/>
          <w:szCs w:val="24"/>
        </w:rPr>
        <w:t>Використання пайових коштів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284"/>
        <w:jc w:val="both"/>
        <w:rPr>
          <w:rFonts w:eastAsia="SimSun"/>
          <w:sz w:val="24"/>
          <w:szCs w:val="24"/>
          <w:lang w:eastAsia="hi-IN"/>
        </w:rPr>
      </w:pPr>
      <w:r>
        <w:rPr>
          <w:sz w:val="24"/>
          <w:szCs w:val="24"/>
        </w:rPr>
        <w:t xml:space="preserve">4.1.Кошти, отримані як пайова участь, використовуються виключно для створення і розвитку інженерно-транспортної та соціальної інфраструктури відповідного населеного пункту згідно до вимог статті 71 Бюджетного кодексу України.  </w:t>
      </w: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sz w:val="24"/>
          <w:szCs w:val="24"/>
        </w:rPr>
      </w:pP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rFonts w:eastAsiaTheme="minorEastAsia"/>
          <w:sz w:val="24"/>
          <w:szCs w:val="24"/>
        </w:rPr>
      </w:pP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sz w:val="24"/>
          <w:szCs w:val="24"/>
        </w:rPr>
      </w:pPr>
    </w:p>
    <w:p w:rsidR="0008175C" w:rsidRDefault="0008175C" w:rsidP="0008175C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/>
        <w:jc w:val="both"/>
        <w:rPr>
          <w:sz w:val="24"/>
          <w:szCs w:val="24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         </w:t>
      </w: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Calibri" w:hAnsi="Calibri"/>
          <w:sz w:val="24"/>
          <w:szCs w:val="24"/>
          <w:lang w:val="ru-RU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sz w:val="24"/>
          <w:szCs w:val="24"/>
          <w:lang w:val="ru-RU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08175C" w:rsidRDefault="0008175C" w:rsidP="0008175C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  <w:lang w:val="ru-RU"/>
        </w:rPr>
      </w:pPr>
    </w:p>
    <w:p w:rsidR="0008175C" w:rsidRPr="0008175C" w:rsidRDefault="0008175C" w:rsidP="009F2135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</w:p>
    <w:sectPr w:rsidR="0008175C" w:rsidRPr="0008175C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7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3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4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3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7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2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41"/>
  </w:num>
  <w:num w:numId="12">
    <w:abstractNumId w:val="6"/>
  </w:num>
  <w:num w:numId="13">
    <w:abstractNumId w:val="18"/>
  </w:num>
  <w:num w:numId="14">
    <w:abstractNumId w:val="9"/>
  </w:num>
  <w:num w:numId="15">
    <w:abstractNumId w:val="7"/>
  </w:num>
  <w:num w:numId="16">
    <w:abstractNumId w:val="13"/>
  </w:num>
  <w:num w:numId="17">
    <w:abstractNumId w:val="39"/>
  </w:num>
  <w:num w:numId="18">
    <w:abstractNumId w:val="27"/>
  </w:num>
  <w:num w:numId="19">
    <w:abstractNumId w:val="8"/>
  </w:num>
  <w:num w:numId="20">
    <w:abstractNumId w:val="24"/>
  </w:num>
  <w:num w:numId="21">
    <w:abstractNumId w:val="40"/>
  </w:num>
  <w:num w:numId="22">
    <w:abstractNumId w:val="42"/>
  </w:num>
  <w:num w:numId="23">
    <w:abstractNumId w:val="43"/>
  </w:num>
  <w:num w:numId="24">
    <w:abstractNumId w:val="10"/>
  </w:num>
  <w:num w:numId="25">
    <w:abstractNumId w:val="3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12"/>
  </w:num>
  <w:num w:numId="33">
    <w:abstractNumId w:val="44"/>
  </w:num>
  <w:num w:numId="34">
    <w:abstractNumId w:val="32"/>
  </w:num>
  <w:num w:numId="35">
    <w:abstractNumId w:val="19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5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D1FF9"/>
    <w:rsid w:val="000D395B"/>
    <w:rsid w:val="000D7580"/>
    <w:rsid w:val="000F2A24"/>
    <w:rsid w:val="001144AA"/>
    <w:rsid w:val="001357B8"/>
    <w:rsid w:val="00151137"/>
    <w:rsid w:val="001A6F49"/>
    <w:rsid w:val="001E11AA"/>
    <w:rsid w:val="001E4CC7"/>
    <w:rsid w:val="002031EC"/>
    <w:rsid w:val="00205D6B"/>
    <w:rsid w:val="00207702"/>
    <w:rsid w:val="00210C62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3045C3"/>
    <w:rsid w:val="003309E3"/>
    <w:rsid w:val="003606DD"/>
    <w:rsid w:val="00363A23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91ECF"/>
    <w:rsid w:val="0049423B"/>
    <w:rsid w:val="00495875"/>
    <w:rsid w:val="004C13CF"/>
    <w:rsid w:val="004C5A15"/>
    <w:rsid w:val="0051298A"/>
    <w:rsid w:val="00512F62"/>
    <w:rsid w:val="00516563"/>
    <w:rsid w:val="00521A95"/>
    <w:rsid w:val="005247BD"/>
    <w:rsid w:val="00540F22"/>
    <w:rsid w:val="00583C6D"/>
    <w:rsid w:val="005841BF"/>
    <w:rsid w:val="005C6072"/>
    <w:rsid w:val="005C6B79"/>
    <w:rsid w:val="005E428D"/>
    <w:rsid w:val="005F15D0"/>
    <w:rsid w:val="006419C9"/>
    <w:rsid w:val="006449D6"/>
    <w:rsid w:val="00652490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C500F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86501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7A36"/>
    <w:rsid w:val="00F81B41"/>
    <w:rsid w:val="00FD7AA9"/>
    <w:rsid w:val="00FE5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zakon.rada.gov.ua/laws/show/357-2010-%D0%B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laws/show/3038-17?find=1&amp;text=%B3%ED%E6%E5%ED%E5%F0%ED%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1783</Words>
  <Characters>10168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2019-09-05T05:20:00Z</dcterms:created>
  <dcterms:modified xsi:type="dcterms:W3CDTF">2019-09-05T05:20:00Z</dcterms:modified>
</cp:coreProperties>
</file>