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425" w:rsidRDefault="00555B49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555B49">
        <w:pict>
          <v:group id="_x0000_s1057" style="position:absolute;left:0;text-align:left;margin-left:215.85pt;margin-top:5.9pt;width:34pt;height:48.2pt;z-index:25166131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F4425" w:rsidRDefault="00BF4425" w:rsidP="00BF4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F4425" w:rsidRDefault="00BF4425" w:rsidP="00BF442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4425" w:rsidRDefault="00BF4425" w:rsidP="00BF44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F4425" w:rsidRDefault="00BF4425" w:rsidP="00BF44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F4425" w:rsidRDefault="00BF4425" w:rsidP="00BF44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№18</w:t>
      </w:r>
    </w:p>
    <w:p w:rsidR="00BF4425" w:rsidRDefault="00BF4425" w:rsidP="00BF4425">
      <w:pPr>
        <w:jc w:val="center"/>
        <w:rPr>
          <w:sz w:val="28"/>
          <w:szCs w:val="28"/>
          <w:lang w:val="ru-RU"/>
        </w:rPr>
      </w:pPr>
    </w:p>
    <w:p w:rsidR="00BF4425" w:rsidRPr="007859D8" w:rsidRDefault="00BF4425" w:rsidP="00BF4425">
      <w:pPr>
        <w:pStyle w:val="1"/>
        <w:spacing w:line="276" w:lineRule="auto"/>
        <w:jc w:val="both"/>
        <w:rPr>
          <w:bCs/>
          <w:sz w:val="24"/>
          <w:szCs w:val="24"/>
        </w:rPr>
      </w:pPr>
      <w:r w:rsidRPr="007859D8">
        <w:rPr>
          <w:sz w:val="24"/>
          <w:szCs w:val="24"/>
        </w:rPr>
        <w:t xml:space="preserve">Про </w:t>
      </w:r>
      <w:proofErr w:type="spellStart"/>
      <w:r w:rsidRPr="007859D8">
        <w:rPr>
          <w:sz w:val="24"/>
          <w:szCs w:val="24"/>
        </w:rPr>
        <w:t>затвердження</w:t>
      </w:r>
      <w:proofErr w:type="spellEnd"/>
      <w:r w:rsidRPr="007859D8">
        <w:rPr>
          <w:sz w:val="24"/>
          <w:szCs w:val="24"/>
        </w:rPr>
        <w:t xml:space="preserve"> </w:t>
      </w:r>
      <w:proofErr w:type="spellStart"/>
      <w:r w:rsidRPr="007859D8">
        <w:rPr>
          <w:sz w:val="24"/>
          <w:szCs w:val="24"/>
        </w:rPr>
        <w:t>нормативі</w:t>
      </w:r>
      <w:proofErr w:type="gramStart"/>
      <w:r w:rsidRPr="007859D8">
        <w:rPr>
          <w:sz w:val="24"/>
          <w:szCs w:val="24"/>
        </w:rPr>
        <w:t>в</w:t>
      </w:r>
      <w:proofErr w:type="spellEnd"/>
      <w:proofErr w:type="gramEnd"/>
      <w:r w:rsidRPr="007859D8">
        <w:rPr>
          <w:sz w:val="24"/>
          <w:szCs w:val="24"/>
        </w:rPr>
        <w:t xml:space="preserve"> для</w:t>
      </w:r>
    </w:p>
    <w:p w:rsidR="00BF4425" w:rsidRPr="007859D8" w:rsidRDefault="00BF4425" w:rsidP="00BF4425">
      <w:pPr>
        <w:pStyle w:val="1"/>
        <w:spacing w:line="276" w:lineRule="auto"/>
        <w:jc w:val="both"/>
        <w:rPr>
          <w:bCs/>
          <w:sz w:val="24"/>
          <w:szCs w:val="24"/>
        </w:rPr>
      </w:pPr>
      <w:proofErr w:type="spellStart"/>
      <w:r w:rsidRPr="007859D8">
        <w:rPr>
          <w:sz w:val="24"/>
          <w:szCs w:val="24"/>
        </w:rPr>
        <w:t>одиниці</w:t>
      </w:r>
      <w:proofErr w:type="spellEnd"/>
      <w:r w:rsidRPr="007859D8">
        <w:rPr>
          <w:sz w:val="24"/>
          <w:szCs w:val="24"/>
        </w:rPr>
        <w:t xml:space="preserve"> </w:t>
      </w:r>
      <w:proofErr w:type="spellStart"/>
      <w:r w:rsidRPr="007859D8">
        <w:rPr>
          <w:sz w:val="24"/>
          <w:szCs w:val="24"/>
        </w:rPr>
        <w:t>створеної</w:t>
      </w:r>
      <w:proofErr w:type="spellEnd"/>
      <w:r w:rsidRPr="007859D8">
        <w:rPr>
          <w:sz w:val="24"/>
          <w:szCs w:val="24"/>
        </w:rPr>
        <w:t xml:space="preserve"> </w:t>
      </w:r>
      <w:proofErr w:type="spellStart"/>
      <w:r w:rsidRPr="007859D8">
        <w:rPr>
          <w:sz w:val="24"/>
          <w:szCs w:val="24"/>
        </w:rPr>
        <w:t>потужності</w:t>
      </w:r>
      <w:proofErr w:type="spellEnd"/>
      <w:r w:rsidRPr="007859D8">
        <w:rPr>
          <w:sz w:val="24"/>
          <w:szCs w:val="24"/>
        </w:rPr>
        <w:t xml:space="preserve"> </w:t>
      </w:r>
      <w:proofErr w:type="spellStart"/>
      <w:r w:rsidRPr="007859D8">
        <w:rPr>
          <w:sz w:val="24"/>
          <w:szCs w:val="24"/>
        </w:rPr>
        <w:t>об’єкта</w:t>
      </w:r>
      <w:proofErr w:type="spellEnd"/>
    </w:p>
    <w:p w:rsidR="00BF4425" w:rsidRPr="007859D8" w:rsidRDefault="00BF4425" w:rsidP="00BF4425">
      <w:pPr>
        <w:pStyle w:val="1"/>
        <w:spacing w:line="276" w:lineRule="auto"/>
        <w:jc w:val="both"/>
        <w:rPr>
          <w:b w:val="0"/>
          <w:sz w:val="24"/>
          <w:szCs w:val="24"/>
        </w:rPr>
      </w:pPr>
      <w:proofErr w:type="spellStart"/>
      <w:r w:rsidRPr="007859D8">
        <w:rPr>
          <w:sz w:val="24"/>
          <w:szCs w:val="24"/>
        </w:rPr>
        <w:t>будівництва</w:t>
      </w:r>
      <w:proofErr w:type="spellEnd"/>
      <w:r w:rsidRPr="007859D8">
        <w:rPr>
          <w:sz w:val="24"/>
          <w:szCs w:val="24"/>
        </w:rPr>
        <w:t xml:space="preserve"> у </w:t>
      </w:r>
      <w:proofErr w:type="spellStart"/>
      <w:r w:rsidRPr="007859D8">
        <w:rPr>
          <w:sz w:val="24"/>
          <w:szCs w:val="24"/>
        </w:rPr>
        <w:t>Крупецькій</w:t>
      </w:r>
      <w:proofErr w:type="spellEnd"/>
      <w:r w:rsidRPr="007859D8">
        <w:rPr>
          <w:sz w:val="24"/>
          <w:szCs w:val="24"/>
        </w:rPr>
        <w:t xml:space="preserve"> ОТГ</w:t>
      </w:r>
    </w:p>
    <w:p w:rsidR="00BF4425" w:rsidRPr="00DE0DBF" w:rsidRDefault="00BF4425" w:rsidP="00BF4425">
      <w:pPr>
        <w:pStyle w:val="1"/>
        <w:spacing w:line="276" w:lineRule="auto"/>
        <w:jc w:val="both"/>
        <w:rPr>
          <w:bCs/>
        </w:rPr>
      </w:pPr>
    </w:p>
    <w:p w:rsidR="00BF4425" w:rsidRDefault="00BF4425" w:rsidP="00BF4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2DE">
        <w:rPr>
          <w:rFonts w:ascii="Times New Roman" w:hAnsi="Times New Roman" w:cs="Times New Roman"/>
          <w:sz w:val="24"/>
          <w:szCs w:val="24"/>
        </w:rPr>
        <w:t>Відповідно до статті 25 Закону України «Про місцеве самоврядування в Україні», Закону України «Про регулювання містобудівної діяльності</w:t>
      </w:r>
      <w:r w:rsidRPr="00BB72D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», </w:t>
      </w:r>
      <w:r w:rsidRPr="00BB72D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Закону України «Про засади державної регуляторної політики у сфері господарської діяльності», з</w:t>
      </w:r>
      <w:r w:rsidRPr="00BB72DE">
        <w:rPr>
          <w:rFonts w:ascii="Times New Roman" w:hAnsi="Times New Roman" w:cs="Times New Roman"/>
          <w:sz w:val="24"/>
          <w:szCs w:val="24"/>
        </w:rPr>
        <w:t xml:space="preserve"> метою приведення чинних нормативних актів сільської ради у відповідність до вимог чинного законодавства, сільська рада </w:t>
      </w:r>
    </w:p>
    <w:p w:rsidR="00BF4425" w:rsidRPr="00BB72DE" w:rsidRDefault="00BF4425" w:rsidP="00BF4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2DE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F4425" w:rsidRPr="00BB72DE" w:rsidRDefault="00BF4425" w:rsidP="00BF4425">
      <w:pPr>
        <w:numPr>
          <w:ilvl w:val="0"/>
          <w:numId w:val="1"/>
        </w:numPr>
        <w:spacing w:after="0"/>
        <w:ind w:left="0" w:firstLine="426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DE">
        <w:rPr>
          <w:rFonts w:ascii="Times New Roman" w:hAnsi="Times New Roman" w:cs="Times New Roman"/>
          <w:color w:val="000000"/>
          <w:sz w:val="24"/>
          <w:szCs w:val="24"/>
        </w:rPr>
        <w:t xml:space="preserve">Погодити проект рішення сільської ради «Про затвердження нормативів для одиниці створеної потужності об’єкта будівництва у </w:t>
      </w:r>
      <w:proofErr w:type="spellStart"/>
      <w:r w:rsidRPr="00BB72DE">
        <w:rPr>
          <w:rFonts w:ascii="Times New Roman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BB72DE">
        <w:rPr>
          <w:rFonts w:ascii="Times New Roman" w:hAnsi="Times New Roman" w:cs="Times New Roman"/>
          <w:color w:val="000000"/>
          <w:sz w:val="24"/>
          <w:szCs w:val="24"/>
        </w:rPr>
        <w:t xml:space="preserve"> ОТГ» згідно з додатком, що додається.</w:t>
      </w:r>
    </w:p>
    <w:p w:rsidR="00BF4425" w:rsidRPr="00BB72DE" w:rsidRDefault="00BF4425" w:rsidP="00BF4425">
      <w:pPr>
        <w:numPr>
          <w:ilvl w:val="0"/>
          <w:numId w:val="1"/>
        </w:numPr>
        <w:spacing w:after="0"/>
        <w:ind w:left="0" w:firstLine="426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DE">
        <w:rPr>
          <w:rFonts w:ascii="Times New Roman" w:hAnsi="Times New Roman" w:cs="Times New Roman"/>
          <w:color w:val="000000"/>
          <w:sz w:val="24"/>
          <w:szCs w:val="24"/>
        </w:rPr>
        <w:t>Загальному відділу сільської ради (</w:t>
      </w:r>
      <w:proofErr w:type="spellStart"/>
      <w:r w:rsidRPr="00BB72DE">
        <w:rPr>
          <w:rFonts w:ascii="Times New Roman" w:hAnsi="Times New Roman" w:cs="Times New Roman"/>
          <w:color w:val="000000"/>
          <w:sz w:val="24"/>
          <w:szCs w:val="24"/>
        </w:rPr>
        <w:t>Семенчук</w:t>
      </w:r>
      <w:proofErr w:type="spellEnd"/>
      <w:r w:rsidRPr="00BB72DE">
        <w:rPr>
          <w:rFonts w:ascii="Times New Roman" w:hAnsi="Times New Roman" w:cs="Times New Roman"/>
          <w:color w:val="000000"/>
          <w:sz w:val="24"/>
          <w:szCs w:val="24"/>
        </w:rPr>
        <w:t xml:space="preserve"> В.П.) забезпечити оприлюднення цього рішення та його аналіз регуляторного впливу в порядку і строки, визначені чинним законодавством України.</w:t>
      </w:r>
    </w:p>
    <w:p w:rsidR="00BF4425" w:rsidRPr="00BB72DE" w:rsidRDefault="00BF4425" w:rsidP="00BF4425">
      <w:pPr>
        <w:numPr>
          <w:ilvl w:val="0"/>
          <w:numId w:val="1"/>
        </w:numPr>
        <w:spacing w:after="0"/>
        <w:ind w:left="0" w:firstLine="426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DE">
        <w:rPr>
          <w:rFonts w:ascii="Times New Roman" w:hAnsi="Times New Roman" w:cs="Times New Roman"/>
          <w:color w:val="000000"/>
          <w:sz w:val="24"/>
          <w:szCs w:val="24"/>
        </w:rPr>
        <w:t>Встановити, що строк, протягом якого приймаються зауваження та пропозиції становить 1 місяць з дня оприлюднення проекту регуляторного акту та його аналізу регуляторного впливу.</w:t>
      </w:r>
    </w:p>
    <w:p w:rsidR="00BF4425" w:rsidRPr="00BB72DE" w:rsidRDefault="00BF4425" w:rsidP="00BF4425">
      <w:pPr>
        <w:numPr>
          <w:ilvl w:val="0"/>
          <w:numId w:val="1"/>
        </w:numPr>
        <w:spacing w:after="0"/>
        <w:ind w:left="0" w:firstLine="426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DE">
        <w:rPr>
          <w:rFonts w:ascii="Times New Roman" w:hAnsi="Times New Roman" w:cs="Times New Roman"/>
          <w:color w:val="000000"/>
          <w:sz w:val="24"/>
          <w:szCs w:val="24"/>
        </w:rPr>
        <w:t>Після розгляду поданих пропозицій щодо цього регуляторного акту та закінчення терміну на його обговорення розробнику регуляторного акта (</w:t>
      </w:r>
      <w:proofErr w:type="spellStart"/>
      <w:r w:rsidRPr="00BB72DE">
        <w:rPr>
          <w:rFonts w:ascii="Times New Roman" w:hAnsi="Times New Roman" w:cs="Times New Roman"/>
          <w:color w:val="000000"/>
          <w:sz w:val="24"/>
          <w:szCs w:val="24"/>
        </w:rPr>
        <w:t>Панцюк</w:t>
      </w:r>
      <w:proofErr w:type="spellEnd"/>
      <w:r w:rsidRPr="00BB72DE">
        <w:rPr>
          <w:rFonts w:ascii="Times New Roman" w:hAnsi="Times New Roman" w:cs="Times New Roman"/>
          <w:color w:val="000000"/>
          <w:sz w:val="24"/>
          <w:szCs w:val="24"/>
        </w:rPr>
        <w:t xml:space="preserve"> Т.О.) винести його на розгляд сільської ради як проект рішення «Про затвердження нормативів для одиниці створеної потужності об’єкта будівництва у </w:t>
      </w:r>
      <w:proofErr w:type="spellStart"/>
      <w:r w:rsidRPr="00BB72DE">
        <w:rPr>
          <w:rFonts w:ascii="Times New Roman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BB72DE">
        <w:rPr>
          <w:rFonts w:ascii="Times New Roman" w:hAnsi="Times New Roman" w:cs="Times New Roman"/>
          <w:color w:val="000000"/>
          <w:sz w:val="24"/>
          <w:szCs w:val="24"/>
        </w:rPr>
        <w:t xml:space="preserve"> ОТГ».</w:t>
      </w:r>
    </w:p>
    <w:p w:rsidR="00BF4425" w:rsidRPr="00BB72DE" w:rsidRDefault="00BF4425" w:rsidP="00BF4425">
      <w:pPr>
        <w:numPr>
          <w:ilvl w:val="0"/>
          <w:numId w:val="1"/>
        </w:numPr>
        <w:spacing w:after="0"/>
        <w:ind w:left="0" w:firstLine="426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DE">
        <w:rPr>
          <w:rFonts w:ascii="Times New Roman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BB72DE">
        <w:rPr>
          <w:rFonts w:ascii="Times New Roman" w:hAnsi="Times New Roman" w:cs="Times New Roman"/>
          <w:color w:val="000000"/>
          <w:sz w:val="24"/>
          <w:szCs w:val="24"/>
        </w:rPr>
        <w:t>Качаровська</w:t>
      </w:r>
      <w:proofErr w:type="spellEnd"/>
      <w:r w:rsidRPr="00BB72DE">
        <w:rPr>
          <w:rFonts w:ascii="Times New Roman" w:hAnsi="Times New Roman" w:cs="Times New Roman"/>
          <w:color w:val="000000"/>
          <w:sz w:val="24"/>
          <w:szCs w:val="24"/>
        </w:rPr>
        <w:t xml:space="preserve"> О.В.) та на  постійну комісію з питань прав людини, законності, депутатської діяльності, етики та регламенту (Кравчук Л.І.).</w:t>
      </w:r>
    </w:p>
    <w:p w:rsidR="00BF4425" w:rsidRPr="00BB72DE" w:rsidRDefault="00BF4425" w:rsidP="00BF4425">
      <w:pPr>
        <w:tabs>
          <w:tab w:val="left" w:pos="1305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4425" w:rsidRPr="00B42BFA" w:rsidRDefault="00BF4425" w:rsidP="00BF4425">
      <w:pPr>
        <w:tabs>
          <w:tab w:val="left" w:pos="1305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72DE">
        <w:rPr>
          <w:rFonts w:ascii="Times New Roman" w:hAnsi="Times New Roman" w:cs="Times New Roman"/>
          <w:color w:val="000000"/>
          <w:sz w:val="24"/>
          <w:szCs w:val="24"/>
        </w:rPr>
        <w:t xml:space="preserve">Сільський голова </w:t>
      </w:r>
      <w:r w:rsidRPr="00BB72D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72D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72D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72D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72D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72D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72D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72D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72D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В.А. </w:t>
      </w:r>
      <w:proofErr w:type="spellStart"/>
      <w:r w:rsidRPr="00BB72DE">
        <w:rPr>
          <w:rFonts w:ascii="Times New Roman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B42BFA" w:rsidRPr="00B42BFA" w:rsidRDefault="00B42BFA" w:rsidP="00BF4425">
      <w:pPr>
        <w:tabs>
          <w:tab w:val="left" w:pos="1305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4425" w:rsidRDefault="00BF4425" w:rsidP="00BF4425">
      <w:pPr>
        <w:pStyle w:val="HTML"/>
        <w:ind w:leftChars="2303" w:left="5067" w:firstLine="2"/>
        <w:jc w:val="center"/>
        <w:rPr>
          <w:rFonts w:ascii="Times New Roman" w:eastAsia="Times New Roman" w:hAnsi="Times New Roman"/>
          <w:color w:val="000000"/>
          <w:lang w:val="uk-UA" w:eastAsia="ru-RU"/>
        </w:rPr>
      </w:pPr>
    </w:p>
    <w:p w:rsidR="00BF4425" w:rsidRPr="00DE0DBF" w:rsidRDefault="00BF4425" w:rsidP="00BF4425">
      <w:pPr>
        <w:pStyle w:val="HTML"/>
        <w:spacing w:line="276" w:lineRule="auto"/>
        <w:ind w:leftChars="2303" w:left="5067" w:firstLine="2"/>
        <w:jc w:val="center"/>
        <w:rPr>
          <w:rFonts w:ascii="Times New Roman" w:eastAsia="Times New Roman" w:hAnsi="Times New Roman"/>
          <w:color w:val="000000"/>
          <w:lang w:val="uk-UA" w:eastAsia="ru-RU"/>
        </w:rPr>
      </w:pPr>
      <w:r w:rsidRPr="00DE0DBF">
        <w:rPr>
          <w:rFonts w:ascii="Times New Roman" w:eastAsia="Times New Roman" w:hAnsi="Times New Roman"/>
          <w:color w:val="000000"/>
          <w:lang w:val="uk-UA" w:eastAsia="ru-RU"/>
        </w:rPr>
        <w:t>Додаток</w:t>
      </w:r>
    </w:p>
    <w:p w:rsidR="00BF4425" w:rsidRPr="00DE0DBF" w:rsidRDefault="00BF4425" w:rsidP="00BF4425">
      <w:pPr>
        <w:pStyle w:val="HTML"/>
        <w:spacing w:line="276" w:lineRule="auto"/>
        <w:ind w:leftChars="2303" w:left="5067" w:firstLine="2"/>
        <w:jc w:val="center"/>
        <w:rPr>
          <w:rFonts w:ascii="Times New Roman" w:eastAsia="Times New Roman" w:hAnsi="Times New Roman"/>
          <w:color w:val="000000"/>
          <w:lang w:val="uk-UA" w:eastAsia="ru-RU"/>
        </w:rPr>
      </w:pPr>
      <w:r w:rsidRPr="00DE0DBF">
        <w:rPr>
          <w:rFonts w:ascii="Times New Roman" w:eastAsia="Times New Roman" w:hAnsi="Times New Roman"/>
          <w:color w:val="000000"/>
          <w:lang w:val="uk-UA" w:eastAsia="ru-RU"/>
        </w:rPr>
        <w:t>до рішення Крупецької сільської ради</w:t>
      </w:r>
    </w:p>
    <w:p w:rsidR="00BF4425" w:rsidRPr="00DE0DBF" w:rsidRDefault="00BF4425" w:rsidP="00BF4425">
      <w:pPr>
        <w:pStyle w:val="HTML"/>
        <w:spacing w:line="276" w:lineRule="auto"/>
        <w:ind w:leftChars="2303" w:left="5067" w:firstLine="2"/>
        <w:jc w:val="center"/>
        <w:rPr>
          <w:rFonts w:ascii="Times New Roman" w:eastAsia="Times New Roman" w:hAnsi="Times New Roman"/>
          <w:color w:val="000000"/>
          <w:lang w:val="uk-UA" w:eastAsia="ru-RU"/>
        </w:rPr>
      </w:pPr>
      <w:r w:rsidRPr="00DE0DBF">
        <w:rPr>
          <w:rFonts w:ascii="Times New Roman" w:eastAsia="Times New Roman" w:hAnsi="Times New Roman"/>
          <w:color w:val="000000"/>
          <w:lang w:val="uk-UA" w:eastAsia="ru-RU"/>
        </w:rPr>
        <w:t xml:space="preserve">VІІ скликання від </w:t>
      </w:r>
      <w:r>
        <w:rPr>
          <w:rFonts w:ascii="Times New Roman" w:eastAsia="Times New Roman" w:hAnsi="Times New Roman"/>
          <w:color w:val="000000"/>
          <w:lang w:val="uk-UA" w:eastAsia="ru-RU"/>
        </w:rPr>
        <w:t>22</w:t>
      </w:r>
      <w:r w:rsidRPr="00DE0DBF">
        <w:rPr>
          <w:rFonts w:ascii="Times New Roman" w:eastAsia="Times New Roman" w:hAnsi="Times New Roman"/>
          <w:color w:val="000000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lang w:val="uk-UA" w:eastAsia="ru-RU"/>
        </w:rPr>
        <w:t>10</w:t>
      </w:r>
      <w:r w:rsidRPr="00DE0DBF">
        <w:rPr>
          <w:rFonts w:ascii="Times New Roman" w:eastAsia="Times New Roman" w:hAnsi="Times New Roman"/>
          <w:color w:val="000000"/>
          <w:lang w:val="uk-UA" w:eastAsia="ru-RU"/>
        </w:rPr>
        <w:t>.20</w:t>
      </w:r>
      <w:r>
        <w:rPr>
          <w:rFonts w:ascii="Times New Roman" w:eastAsia="Times New Roman" w:hAnsi="Times New Roman"/>
          <w:color w:val="000000"/>
          <w:lang w:val="uk-UA" w:eastAsia="ru-RU"/>
        </w:rPr>
        <w:t>19 №18</w:t>
      </w:r>
    </w:p>
    <w:p w:rsidR="00BF4425" w:rsidRPr="00DE0DBF" w:rsidRDefault="00BF4425" w:rsidP="00BF4425">
      <w:pPr>
        <w:jc w:val="center"/>
      </w:pPr>
    </w:p>
    <w:p w:rsidR="00BF4425" w:rsidRPr="007A55E6" w:rsidRDefault="00BF4425" w:rsidP="00BF4425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A55E6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BF4425" w:rsidRPr="007A55E6" w:rsidRDefault="00555B49" w:rsidP="00BF44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B49">
        <w:rPr>
          <w:rFonts w:ascii="Times New Roman" w:hAnsi="Times New Roman" w:cs="Times New Roman"/>
          <w:sz w:val="24"/>
          <w:szCs w:val="24"/>
        </w:rPr>
        <w:pict>
          <v:group id="_x0000_s1026" style="position:absolute;left:0;text-align:left;margin-left:222.3pt;margin-top:6.55pt;width:34pt;height:48.2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F4425" w:rsidRPr="007A55E6" w:rsidRDefault="00BF4425" w:rsidP="00BF44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4425" w:rsidRPr="007A55E6" w:rsidRDefault="00BF4425" w:rsidP="00BF44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4425" w:rsidRPr="007A55E6" w:rsidRDefault="00BF4425" w:rsidP="00BF4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4425" w:rsidRPr="007A55E6" w:rsidRDefault="00BF4425" w:rsidP="00BF44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5E6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F4425" w:rsidRPr="007A55E6" w:rsidRDefault="00BF4425" w:rsidP="00BF44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5E6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F4425" w:rsidRPr="007A55E6" w:rsidRDefault="00BF4425" w:rsidP="00BF44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5E6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F4425" w:rsidRPr="007A55E6" w:rsidRDefault="00BF4425" w:rsidP="00BF44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5E6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F4425" w:rsidRPr="007A55E6" w:rsidRDefault="00BF4425" w:rsidP="00BF44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425" w:rsidRPr="007A55E6" w:rsidRDefault="00BF4425" w:rsidP="00BF4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55E6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7A55E6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7A55E6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F4425" w:rsidRPr="007A55E6" w:rsidRDefault="00BF4425" w:rsidP="00BF4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A55E6">
        <w:rPr>
          <w:rFonts w:ascii="Times New Roman" w:hAnsi="Times New Roman" w:cs="Times New Roman"/>
          <w:sz w:val="24"/>
          <w:szCs w:val="24"/>
        </w:rPr>
        <w:t>______сесії</w:t>
      </w:r>
      <w:proofErr w:type="spellEnd"/>
      <w:r w:rsidRPr="007A55E6">
        <w:rPr>
          <w:rFonts w:ascii="Times New Roman" w:hAnsi="Times New Roman" w:cs="Times New Roman"/>
          <w:sz w:val="24"/>
          <w:szCs w:val="24"/>
        </w:rPr>
        <w:t xml:space="preserve"> сільської ради  VІІ  скликання</w:t>
      </w:r>
    </w:p>
    <w:p w:rsidR="00BF4425" w:rsidRPr="007A55E6" w:rsidRDefault="00BF4425" w:rsidP="00BF442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 w:rsidRPr="007A55E6">
        <w:rPr>
          <w:rFonts w:ascii="Times New Roman" w:hAnsi="Times New Roman" w:cs="Times New Roman"/>
          <w:sz w:val="24"/>
          <w:szCs w:val="24"/>
        </w:rPr>
        <w:t>___._______.2019 року                            Крупець                                                   №__</w:t>
      </w:r>
    </w:p>
    <w:p w:rsidR="00BF4425" w:rsidRPr="007A55E6" w:rsidRDefault="00BF4425" w:rsidP="00BF4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4425" w:rsidRPr="007A55E6" w:rsidRDefault="00BF4425" w:rsidP="00BF4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4425" w:rsidRPr="007A55E6" w:rsidRDefault="00BF4425" w:rsidP="00BF4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5E6">
        <w:rPr>
          <w:rFonts w:ascii="Times New Roman" w:hAnsi="Times New Roman" w:cs="Times New Roman"/>
          <w:b/>
          <w:sz w:val="24"/>
          <w:szCs w:val="24"/>
        </w:rPr>
        <w:t>Про затвердження нормативів для одиниці</w:t>
      </w:r>
    </w:p>
    <w:p w:rsidR="00BF4425" w:rsidRPr="007A55E6" w:rsidRDefault="00BF4425" w:rsidP="00BF4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5E6">
        <w:rPr>
          <w:rFonts w:ascii="Times New Roman" w:hAnsi="Times New Roman" w:cs="Times New Roman"/>
          <w:b/>
          <w:sz w:val="24"/>
          <w:szCs w:val="24"/>
        </w:rPr>
        <w:t>створеної потужності об’єкта будівництва</w:t>
      </w:r>
    </w:p>
    <w:p w:rsidR="00BF4425" w:rsidRPr="007A55E6" w:rsidRDefault="00BF4425" w:rsidP="00BF4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5E6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7A55E6">
        <w:rPr>
          <w:rFonts w:ascii="Times New Roman" w:hAnsi="Times New Roman" w:cs="Times New Roman"/>
          <w:b/>
          <w:sz w:val="24"/>
          <w:szCs w:val="24"/>
        </w:rPr>
        <w:t>Крупецькій</w:t>
      </w:r>
      <w:proofErr w:type="spellEnd"/>
      <w:r w:rsidRPr="007A55E6">
        <w:rPr>
          <w:rFonts w:ascii="Times New Roman" w:hAnsi="Times New Roman" w:cs="Times New Roman"/>
          <w:b/>
          <w:sz w:val="24"/>
          <w:szCs w:val="24"/>
        </w:rPr>
        <w:t xml:space="preserve"> ОТГ»</w:t>
      </w:r>
    </w:p>
    <w:p w:rsidR="00BF4425" w:rsidRPr="007A55E6" w:rsidRDefault="00BF4425" w:rsidP="00BF4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425" w:rsidRDefault="00BF4425" w:rsidP="00BF442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5E6">
        <w:rPr>
          <w:rFonts w:ascii="Times New Roman" w:hAnsi="Times New Roman" w:cs="Times New Roman"/>
          <w:sz w:val="24"/>
          <w:szCs w:val="24"/>
        </w:rPr>
        <w:t>Відповідно до статті 25 Закону України «Про місцеве самоврядування в Україні», частини 5 статті 40 Закону України «Про регулювання містобудівної діяльності», наказу Міністерства регіонального розвитку, будівництва та житлово-комунального господарства України від 06  грудня 2018 за №335 «</w:t>
      </w:r>
      <w:hyperlink r:id="rId5" w:tgtFrame="_blank" w:history="1">
        <w:r w:rsidRPr="007A55E6">
          <w:rPr>
            <w:rFonts w:ascii="Times New Roman" w:eastAsia="SimSun" w:hAnsi="Times New Roman" w:cs="Times New Roman"/>
            <w:sz w:val="24"/>
            <w:szCs w:val="24"/>
          </w:rPr>
          <w:t>Про показники опосередкованої вартості спорудження житла за регіонами України</w:t>
        </w:r>
      </w:hyperlink>
      <w:r w:rsidRPr="007A55E6">
        <w:rPr>
          <w:rFonts w:ascii="Times New Roman" w:hAnsi="Times New Roman" w:cs="Times New Roman"/>
          <w:sz w:val="24"/>
          <w:szCs w:val="24"/>
        </w:rPr>
        <w:t xml:space="preserve">», на виконання пункту 2.3. Порядку залучення, розрахунку розміру і використання коштів пайової участі у розвиток інфраструктури населених пунктів Крупецької сільської ради Славутського району Хмельницької області, затвердженого рішенням </w:t>
      </w:r>
      <w:r w:rsidRPr="007A55E6">
        <w:rPr>
          <w:rFonts w:ascii="Times New Roman" w:eastAsia="Arial Unicode MS" w:hAnsi="Times New Roman" w:cs="Times New Roman"/>
          <w:color w:val="000000"/>
          <w:sz w:val="24"/>
          <w:szCs w:val="24"/>
        </w:rPr>
        <w:t>ХХVІ</w:t>
      </w:r>
      <w:r w:rsidRPr="007A55E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сесії Крупецької сільської ради VІІ скликання від 20 вересня 2019 №6,  </w:t>
      </w:r>
      <w:r w:rsidRPr="007A55E6">
        <w:rPr>
          <w:rFonts w:ascii="Times New Roman" w:hAnsi="Times New Roman" w:cs="Times New Roman"/>
          <w:sz w:val="24"/>
          <w:szCs w:val="24"/>
        </w:rPr>
        <w:t xml:space="preserve">сільська рада  </w:t>
      </w:r>
    </w:p>
    <w:p w:rsidR="00BF4425" w:rsidRPr="007A55E6" w:rsidRDefault="00BF4425" w:rsidP="00BF442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5E6">
        <w:rPr>
          <w:rFonts w:ascii="Times New Roman" w:hAnsi="Times New Roman" w:cs="Times New Roman"/>
          <w:sz w:val="24"/>
          <w:szCs w:val="24"/>
        </w:rPr>
        <w:t>ВИРІШИЛА:</w:t>
      </w:r>
    </w:p>
    <w:p w:rsidR="00BF4425" w:rsidRPr="007A55E6" w:rsidRDefault="00BF4425" w:rsidP="00BF4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5E6">
        <w:rPr>
          <w:rFonts w:ascii="Times New Roman" w:hAnsi="Times New Roman" w:cs="Times New Roman"/>
          <w:sz w:val="24"/>
          <w:szCs w:val="24"/>
        </w:rPr>
        <w:t xml:space="preserve">1. Затвердити  нормативи для одиниці створеної потужності об’єкту будівництва у </w:t>
      </w:r>
      <w:proofErr w:type="spellStart"/>
      <w:r w:rsidRPr="007A55E6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7A55E6">
        <w:rPr>
          <w:rFonts w:ascii="Times New Roman" w:hAnsi="Times New Roman" w:cs="Times New Roman"/>
          <w:sz w:val="24"/>
          <w:szCs w:val="24"/>
        </w:rPr>
        <w:t xml:space="preserve"> ОТГ згідно з додатком, що додається.</w:t>
      </w:r>
    </w:p>
    <w:p w:rsidR="00BF4425" w:rsidRPr="007A55E6" w:rsidRDefault="00BF4425" w:rsidP="00BF4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5E6">
        <w:rPr>
          <w:rFonts w:ascii="Times New Roman" w:hAnsi="Times New Roman" w:cs="Times New Roman"/>
          <w:sz w:val="24"/>
          <w:szCs w:val="24"/>
        </w:rPr>
        <w:t>2. Рішення набирає чинності з моменту його офіційного оприлюднення.</w:t>
      </w:r>
    </w:p>
    <w:p w:rsidR="00BF4425" w:rsidRPr="007A55E6" w:rsidRDefault="00BF4425" w:rsidP="00BF4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5E6">
        <w:rPr>
          <w:rFonts w:ascii="Times New Roman" w:hAnsi="Times New Roman" w:cs="Times New Roman"/>
          <w:sz w:val="24"/>
          <w:szCs w:val="24"/>
        </w:rPr>
        <w:t xml:space="preserve">3. </w:t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7A55E6">
        <w:rPr>
          <w:rFonts w:ascii="Times New Roman" w:hAnsi="Times New Roman" w:cs="Times New Roman"/>
          <w:color w:val="000000"/>
          <w:sz w:val="24"/>
          <w:szCs w:val="24"/>
        </w:rPr>
        <w:t>Качаровська</w:t>
      </w:r>
      <w:proofErr w:type="spellEnd"/>
      <w:r w:rsidRPr="007A55E6">
        <w:rPr>
          <w:rFonts w:ascii="Times New Roman" w:hAnsi="Times New Roman" w:cs="Times New Roman"/>
          <w:color w:val="000000"/>
          <w:sz w:val="24"/>
          <w:szCs w:val="24"/>
        </w:rPr>
        <w:t xml:space="preserve"> О.В.).</w:t>
      </w:r>
    </w:p>
    <w:p w:rsidR="00BF4425" w:rsidRPr="007A55E6" w:rsidRDefault="00BF4425" w:rsidP="00BF4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4425" w:rsidRPr="007A55E6" w:rsidRDefault="00BF4425" w:rsidP="00BF4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4425" w:rsidRPr="007A55E6" w:rsidRDefault="00BF4425" w:rsidP="00BF4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4425" w:rsidRPr="00D568C3" w:rsidRDefault="00BF4425" w:rsidP="00BF4425">
      <w:pPr>
        <w:tabs>
          <w:tab w:val="left" w:pos="130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5E6">
        <w:rPr>
          <w:rFonts w:ascii="Times New Roman" w:hAnsi="Times New Roman" w:cs="Times New Roman"/>
          <w:color w:val="000000"/>
          <w:sz w:val="24"/>
          <w:szCs w:val="24"/>
        </w:rPr>
        <w:t xml:space="preserve">Сільський голова </w:t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В.А. </w:t>
      </w:r>
      <w:proofErr w:type="spellStart"/>
      <w:r w:rsidRPr="007A55E6">
        <w:rPr>
          <w:rFonts w:ascii="Times New Roman" w:hAnsi="Times New Roman" w:cs="Times New Roman"/>
          <w:color w:val="000000"/>
          <w:sz w:val="24"/>
          <w:szCs w:val="24"/>
        </w:rPr>
        <w:t>Михалю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spellEnd"/>
    </w:p>
    <w:p w:rsidR="00BF4425" w:rsidRPr="007A55E6" w:rsidRDefault="00BF4425" w:rsidP="00BF4425">
      <w:pPr>
        <w:pStyle w:val="HTML"/>
        <w:spacing w:line="276" w:lineRule="auto"/>
        <w:ind w:leftChars="2698" w:left="5936" w:firstLine="2"/>
        <w:jc w:val="both"/>
        <w:rPr>
          <w:rFonts w:ascii="Times New Roman" w:hAnsi="Times New Roman"/>
          <w:lang w:val="uk-UA"/>
        </w:rPr>
      </w:pPr>
      <w:r w:rsidRPr="007A55E6">
        <w:rPr>
          <w:rFonts w:ascii="Times New Roman" w:hAnsi="Times New Roman"/>
          <w:lang w:val="uk-UA"/>
        </w:rPr>
        <w:t>Додаток 1</w:t>
      </w:r>
    </w:p>
    <w:p w:rsidR="00BF4425" w:rsidRPr="007A55E6" w:rsidRDefault="00BF4425" w:rsidP="00BF4425">
      <w:pPr>
        <w:pStyle w:val="HTML"/>
        <w:spacing w:line="276" w:lineRule="auto"/>
        <w:ind w:leftChars="2698" w:left="5936" w:firstLine="2"/>
        <w:jc w:val="both"/>
        <w:rPr>
          <w:rFonts w:ascii="Times New Roman" w:hAnsi="Times New Roman"/>
          <w:lang w:val="uk-UA"/>
        </w:rPr>
      </w:pPr>
      <w:r w:rsidRPr="007A55E6">
        <w:rPr>
          <w:rFonts w:ascii="Times New Roman" w:hAnsi="Times New Roman"/>
          <w:lang w:val="uk-UA"/>
        </w:rPr>
        <w:lastRenderedPageBreak/>
        <w:t>до рішення ХХVІІІ   сесії Крупецької сільської ради</w:t>
      </w:r>
    </w:p>
    <w:p w:rsidR="00BF4425" w:rsidRPr="007A55E6" w:rsidRDefault="00BF4425" w:rsidP="00BF4425">
      <w:pPr>
        <w:pStyle w:val="HTML"/>
        <w:spacing w:line="276" w:lineRule="auto"/>
        <w:ind w:leftChars="2698" w:left="5936" w:firstLine="2"/>
        <w:jc w:val="both"/>
        <w:rPr>
          <w:rFonts w:ascii="Times New Roman" w:hAnsi="Times New Roman"/>
          <w:lang w:val="uk-UA"/>
        </w:rPr>
      </w:pPr>
      <w:r w:rsidRPr="007A55E6">
        <w:rPr>
          <w:rFonts w:ascii="Times New Roman" w:hAnsi="Times New Roman"/>
          <w:lang w:val="uk-UA"/>
        </w:rPr>
        <w:t>VІІ скликання</w:t>
      </w:r>
    </w:p>
    <w:p w:rsidR="00BF4425" w:rsidRPr="007A55E6" w:rsidRDefault="00BF4425" w:rsidP="00BF4425">
      <w:pPr>
        <w:pStyle w:val="HTML"/>
        <w:spacing w:line="276" w:lineRule="auto"/>
        <w:ind w:leftChars="2698" w:left="5936" w:firstLine="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22.10.2019 №18</w:t>
      </w:r>
    </w:p>
    <w:p w:rsidR="00BF4425" w:rsidRPr="007A55E6" w:rsidRDefault="00BF4425" w:rsidP="00BF4425">
      <w:pPr>
        <w:pStyle w:val="HTML"/>
        <w:spacing w:line="276" w:lineRule="auto"/>
        <w:ind w:leftChars="2698" w:left="5936" w:firstLine="2"/>
        <w:jc w:val="center"/>
        <w:rPr>
          <w:rFonts w:ascii="Times New Roman" w:hAnsi="Times New Roman"/>
          <w:lang w:val="uk-UA"/>
        </w:rPr>
      </w:pPr>
    </w:p>
    <w:p w:rsidR="00BF4425" w:rsidRPr="007A55E6" w:rsidRDefault="00BF4425" w:rsidP="00BF4425">
      <w:pPr>
        <w:pStyle w:val="HTML"/>
        <w:tabs>
          <w:tab w:val="left" w:pos="-142"/>
        </w:tabs>
        <w:spacing w:line="276" w:lineRule="auto"/>
        <w:ind w:firstLine="2"/>
        <w:jc w:val="center"/>
        <w:rPr>
          <w:rFonts w:ascii="Times New Roman" w:hAnsi="Times New Roman"/>
          <w:lang w:val="uk-UA"/>
        </w:rPr>
      </w:pPr>
      <w:r w:rsidRPr="007A55E6">
        <w:rPr>
          <w:rFonts w:ascii="Times New Roman" w:hAnsi="Times New Roman"/>
          <w:lang w:val="uk-UA"/>
        </w:rPr>
        <w:t>Нормативи</w:t>
      </w:r>
    </w:p>
    <w:p w:rsidR="00BF4425" w:rsidRPr="007A55E6" w:rsidRDefault="00BF4425" w:rsidP="00BF4425">
      <w:pPr>
        <w:pStyle w:val="HTML"/>
        <w:tabs>
          <w:tab w:val="left" w:pos="-142"/>
        </w:tabs>
        <w:spacing w:line="276" w:lineRule="auto"/>
        <w:ind w:firstLine="2"/>
        <w:jc w:val="center"/>
        <w:rPr>
          <w:rFonts w:ascii="Times New Roman" w:hAnsi="Times New Roman"/>
          <w:lang w:val="uk-UA"/>
        </w:rPr>
      </w:pPr>
      <w:r w:rsidRPr="007A55E6">
        <w:rPr>
          <w:rFonts w:ascii="Times New Roman" w:hAnsi="Times New Roman"/>
          <w:lang w:val="uk-UA"/>
        </w:rPr>
        <w:t xml:space="preserve">для одиниці створеної </w:t>
      </w:r>
      <w:proofErr w:type="spellStart"/>
      <w:r w:rsidRPr="007A55E6">
        <w:rPr>
          <w:rFonts w:ascii="Times New Roman" w:hAnsi="Times New Roman"/>
          <w:lang w:val="ru-RU"/>
        </w:rPr>
        <w:t>потужності</w:t>
      </w:r>
      <w:proofErr w:type="spellEnd"/>
      <w:r w:rsidRPr="007A55E6">
        <w:rPr>
          <w:rFonts w:ascii="Times New Roman" w:hAnsi="Times New Roman"/>
          <w:lang w:val="ru-RU"/>
        </w:rPr>
        <w:t xml:space="preserve"> </w:t>
      </w:r>
      <w:proofErr w:type="spellStart"/>
      <w:r w:rsidRPr="007A55E6">
        <w:rPr>
          <w:rFonts w:ascii="Times New Roman" w:hAnsi="Times New Roman"/>
          <w:lang w:val="ru-RU"/>
        </w:rPr>
        <w:t>об’єкту</w:t>
      </w:r>
      <w:proofErr w:type="spellEnd"/>
      <w:r w:rsidRPr="007A55E6">
        <w:rPr>
          <w:rFonts w:ascii="Times New Roman" w:hAnsi="Times New Roman"/>
          <w:lang w:val="ru-RU"/>
        </w:rPr>
        <w:t xml:space="preserve"> </w:t>
      </w:r>
      <w:proofErr w:type="spellStart"/>
      <w:r w:rsidRPr="007A55E6">
        <w:rPr>
          <w:rFonts w:ascii="Times New Roman" w:hAnsi="Times New Roman"/>
          <w:lang w:val="ru-RU"/>
        </w:rPr>
        <w:t>будівництва</w:t>
      </w:r>
      <w:proofErr w:type="spellEnd"/>
      <w:r w:rsidRPr="007A55E6">
        <w:rPr>
          <w:rFonts w:ascii="Times New Roman" w:hAnsi="Times New Roman"/>
          <w:lang w:val="ru-RU"/>
        </w:rPr>
        <w:t xml:space="preserve"> у </w:t>
      </w:r>
      <w:proofErr w:type="spellStart"/>
      <w:r w:rsidRPr="007A55E6">
        <w:rPr>
          <w:rFonts w:ascii="Times New Roman" w:hAnsi="Times New Roman"/>
          <w:lang w:val="ru-RU"/>
        </w:rPr>
        <w:t>Крупецькій</w:t>
      </w:r>
      <w:proofErr w:type="spellEnd"/>
      <w:r w:rsidRPr="007A55E6">
        <w:rPr>
          <w:rFonts w:ascii="Times New Roman" w:hAnsi="Times New Roman"/>
          <w:lang w:val="ru-RU"/>
        </w:rPr>
        <w:t xml:space="preserve"> ОТГ</w:t>
      </w:r>
    </w:p>
    <w:p w:rsidR="00BF4425" w:rsidRPr="007A55E6" w:rsidRDefault="00BF4425" w:rsidP="00BF4425">
      <w:pPr>
        <w:spacing w:after="7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2410"/>
        <w:gridCol w:w="2126"/>
        <w:gridCol w:w="2126"/>
      </w:tblGrid>
      <w:tr w:rsidR="00BF4425" w:rsidRPr="007A55E6" w:rsidTr="0048491E">
        <w:trPr>
          <w:trHeight w:val="9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Функціональне призначення об’єкту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Вартість створення одиниці потужності (грн.)</w:t>
            </w:r>
          </w:p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Коефіцієнт</w:t>
            </w:r>
          </w:p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до середньої</w:t>
            </w: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b/>
                <w:sz w:val="24"/>
                <w:szCs w:val="24"/>
              </w:rPr>
              <w:t>Житлові будинки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b/>
                <w:sz w:val="24"/>
                <w:szCs w:val="24"/>
              </w:rPr>
              <w:t>1м</w:t>
            </w:r>
            <w:r w:rsidRPr="007A55E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A5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загальної площі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b/>
                <w:sz w:val="24"/>
                <w:szCs w:val="24"/>
              </w:rPr>
              <w:t>Середня –</w:t>
            </w:r>
          </w:p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b/>
                <w:sz w:val="24"/>
                <w:szCs w:val="24"/>
              </w:rPr>
              <w:t>11 404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Індивідуальні житлові будинки з  господарськими будівлями та спорудами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11404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b/>
                <w:sz w:val="24"/>
                <w:szCs w:val="24"/>
              </w:rPr>
              <w:t>Нежитлові будівлі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b/>
                <w:sz w:val="24"/>
                <w:szCs w:val="24"/>
              </w:rPr>
              <w:t>1м</w:t>
            </w:r>
            <w:r w:rsidRPr="007A55E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A5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загальної площі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Адміністративні будинки, офіси, бізнес-центри, банки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13685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Магазини, торгівельні центри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6842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Кав’ярні, ресторани, кафе, бари, столові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5702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Перукарні, аптеки, стоматологічні кабінети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4562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Сільс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когосподарські  приміщення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tabs>
                <w:tab w:val="left" w:pos="1224"/>
              </w:tabs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5702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tabs>
                <w:tab w:val="left" w:pos="1224"/>
              </w:tabs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Склади, гаражі, логістика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9123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Виробничі корпуси  будівлі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14825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F4425" w:rsidRPr="007A55E6" w:rsidTr="0048491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Інші нежитлові будівлі та споруди (СТО, шино монтаж, АЗС та інше)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5702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25" w:rsidRPr="007A55E6" w:rsidRDefault="00BF4425" w:rsidP="0048491E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5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BF4425" w:rsidRPr="007A55E6" w:rsidRDefault="00BF4425" w:rsidP="00BF4425">
      <w:pPr>
        <w:tabs>
          <w:tab w:val="left" w:pos="312"/>
        </w:tabs>
        <w:spacing w:after="75"/>
        <w:jc w:val="center"/>
        <w:rPr>
          <w:rFonts w:ascii="Times New Roman" w:hAnsi="Times New Roman" w:cs="Times New Roman"/>
          <w:sz w:val="24"/>
          <w:szCs w:val="24"/>
        </w:rPr>
      </w:pPr>
    </w:p>
    <w:p w:rsidR="00BF4425" w:rsidRPr="007A55E6" w:rsidRDefault="00BF4425" w:rsidP="00BF4425">
      <w:pPr>
        <w:tabs>
          <w:tab w:val="left" w:pos="312"/>
        </w:tabs>
        <w:spacing w:after="75"/>
        <w:rPr>
          <w:rFonts w:ascii="Times New Roman" w:hAnsi="Times New Roman" w:cs="Times New Roman"/>
          <w:sz w:val="24"/>
          <w:szCs w:val="24"/>
        </w:rPr>
      </w:pPr>
      <w:r w:rsidRPr="007A55E6">
        <w:rPr>
          <w:rFonts w:ascii="Times New Roman" w:hAnsi="Times New Roman" w:cs="Times New Roman"/>
          <w:sz w:val="24"/>
          <w:szCs w:val="24"/>
        </w:rPr>
        <w:t>При проведенні реконструкції одиницею створеної потужності  в</w:t>
      </w:r>
      <w:r>
        <w:rPr>
          <w:rFonts w:ascii="Times New Roman" w:hAnsi="Times New Roman" w:cs="Times New Roman"/>
          <w:sz w:val="24"/>
          <w:szCs w:val="24"/>
        </w:rPr>
        <w:t xml:space="preserve">важається 1кв.м. площі </w:t>
      </w:r>
      <w:r w:rsidRPr="007A55E6">
        <w:rPr>
          <w:rFonts w:ascii="Times New Roman" w:hAnsi="Times New Roman" w:cs="Times New Roman"/>
          <w:sz w:val="24"/>
          <w:szCs w:val="24"/>
        </w:rPr>
        <w:t>приміщення  додатково створеної в ході реконструкції.</w:t>
      </w:r>
    </w:p>
    <w:p w:rsidR="00BF4425" w:rsidRPr="007A55E6" w:rsidRDefault="00BF4425" w:rsidP="00BF4425">
      <w:pPr>
        <w:rPr>
          <w:rFonts w:ascii="Times New Roman" w:hAnsi="Times New Roman" w:cs="Times New Roman"/>
          <w:sz w:val="24"/>
          <w:szCs w:val="24"/>
        </w:rPr>
      </w:pPr>
    </w:p>
    <w:p w:rsidR="00BF4425" w:rsidRDefault="00BF4425" w:rsidP="00BF4425">
      <w:pPr>
        <w:tabs>
          <w:tab w:val="left" w:pos="13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A55E6">
        <w:rPr>
          <w:rFonts w:ascii="Times New Roman" w:hAnsi="Times New Roman" w:cs="Times New Roman"/>
          <w:color w:val="000000"/>
          <w:sz w:val="24"/>
          <w:szCs w:val="24"/>
        </w:rPr>
        <w:t xml:space="preserve">Сільський голова </w:t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55E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В.А. </w:t>
      </w:r>
      <w:proofErr w:type="spellStart"/>
      <w:r w:rsidRPr="007A55E6">
        <w:rPr>
          <w:rFonts w:ascii="Times New Roman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B42BF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F4425"/>
    <w:rsid w:val="00295AAF"/>
    <w:rsid w:val="002A64C3"/>
    <w:rsid w:val="00555B49"/>
    <w:rsid w:val="006D2979"/>
    <w:rsid w:val="007859D8"/>
    <w:rsid w:val="00B42BFA"/>
    <w:rsid w:val="00BF4425"/>
    <w:rsid w:val="00DF6E12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2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BF44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425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unhideWhenUsed/>
    <w:rsid w:val="00BF44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F4425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nregion.gov.ua/wp-content/uploads/2018/12/nakaz-vid-06.12.2018-----33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699</Words>
  <Characters>3985</Characters>
  <Application>Microsoft Office Word</Application>
  <DocSecurity>0</DocSecurity>
  <Lines>33</Lines>
  <Paragraphs>9</Paragraphs>
  <ScaleCrop>false</ScaleCrop>
  <Company>Home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5</cp:revision>
  <dcterms:created xsi:type="dcterms:W3CDTF">2019-10-23T12:30:00Z</dcterms:created>
  <dcterms:modified xsi:type="dcterms:W3CDTF">2019-10-24T12:21:00Z</dcterms:modified>
</cp:coreProperties>
</file>