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DC5BEB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5BEB">
        <w:pict>
          <v:group id="_x0000_s1057" style="position:absolute;left:0;text-align:left;margin-left:223.65pt;margin-top:0;width:34.4pt;height:48.3pt;z-index:251679744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УКРАЇНА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00B06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року                                    Крупець                                                   №4</w:t>
      </w:r>
    </w:p>
    <w:p w:rsidR="006F1D5C" w:rsidRDefault="006F1D5C" w:rsidP="006F1D5C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</w:p>
    <w:p w:rsidR="006F1D5C" w:rsidRDefault="006F1D5C" w:rsidP="006F1D5C">
      <w:pPr>
        <w:pStyle w:val="1"/>
        <w:spacing w:before="0" w:beforeAutospacing="0" w:after="0" w:afterAutospacing="0"/>
        <w:rPr>
          <w:rFonts w:ascii="Times New Roman" w:hAnsi="Times New Roman"/>
          <w:bCs w:val="0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ru-RU"/>
        </w:rPr>
        <w:t xml:space="preserve">Про </w:t>
      </w:r>
      <w:r>
        <w:rPr>
          <w:rFonts w:ascii="Times New Roman" w:hAnsi="Times New Roman"/>
          <w:bCs w:val="0"/>
          <w:sz w:val="24"/>
          <w:szCs w:val="24"/>
          <w:lang w:val="uk-UA"/>
        </w:rPr>
        <w:t>Програму</w:t>
      </w:r>
    </w:p>
    <w:p w:rsidR="006F1D5C" w:rsidRDefault="006F1D5C" w:rsidP="006F1D5C">
      <w:pPr>
        <w:pStyle w:val="1"/>
        <w:spacing w:before="0" w:beforeAutospacing="0" w:after="0" w:afterAutospacing="0"/>
        <w:rPr>
          <w:rFonts w:ascii="Times New Roman" w:hAnsi="Times New Roman"/>
          <w:bCs w:val="0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uk-UA"/>
        </w:rPr>
        <w:t>розвитку надання соціальних послуг</w:t>
      </w:r>
    </w:p>
    <w:p w:rsidR="006F1D5C" w:rsidRDefault="006F1D5C" w:rsidP="006F1D5C">
      <w:pPr>
        <w:pStyle w:val="1"/>
        <w:spacing w:before="0" w:beforeAutospacing="0" w:after="0" w:afterAutospacing="0"/>
        <w:rPr>
          <w:rFonts w:ascii="Times New Roman" w:hAnsi="Times New Roman"/>
          <w:bCs w:val="0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uk-UA"/>
        </w:rPr>
        <w:t xml:space="preserve">у </w:t>
      </w:r>
      <w:proofErr w:type="spellStart"/>
      <w:r>
        <w:rPr>
          <w:rFonts w:ascii="Times New Roman" w:hAnsi="Times New Roman"/>
          <w:bCs w:val="0"/>
          <w:sz w:val="24"/>
          <w:szCs w:val="24"/>
          <w:lang w:val="uk-UA"/>
        </w:rPr>
        <w:t>Крупецькій</w:t>
      </w:r>
      <w:proofErr w:type="spellEnd"/>
      <w:r>
        <w:rPr>
          <w:rFonts w:ascii="Times New Roman" w:hAnsi="Times New Roman"/>
          <w:bCs w:val="0"/>
          <w:sz w:val="24"/>
          <w:szCs w:val="24"/>
          <w:lang w:val="uk-UA"/>
        </w:rPr>
        <w:t xml:space="preserve"> сільській раді на 2018-2022 роки</w:t>
      </w:r>
    </w:p>
    <w:p w:rsidR="006F1D5C" w:rsidRDefault="006F1D5C" w:rsidP="006F1D5C">
      <w:pPr>
        <w:pStyle w:val="a5"/>
        <w:jc w:val="left"/>
        <w:rPr>
          <w:rFonts w:ascii="Times New Roman" w:hAnsi="Times New Roman"/>
          <w:sz w:val="24"/>
          <w:szCs w:val="24"/>
        </w:rPr>
      </w:pPr>
    </w:p>
    <w:p w:rsidR="006F1D5C" w:rsidRDefault="006F1D5C" w:rsidP="006F1D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Керуючись пунктом 22 частини 1 статті 26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акону України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„Про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місцеве самоврядування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Україні”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відповідно до Закону України «Про соціальні послуги», у зв’язку із збільшенням кількості одиноких осіб, які потребують постійного стороннього догляду, пов’язаного з  інвалідністю, віком, станом здоров’я та потребують надання соціальних послуг стаціонарного догляду, сільська рада</w:t>
      </w:r>
    </w:p>
    <w:p w:rsidR="006F1D5C" w:rsidRDefault="006F1D5C" w:rsidP="006F1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ВИРІШИЛА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F1D5C" w:rsidRDefault="006F1D5C" w:rsidP="006F1D5C">
      <w:pPr>
        <w:pStyle w:val="af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Програму розвитку надання соціальних послуг 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сільській раді на 2018 -2022 роки згідно з додатком.</w:t>
      </w:r>
    </w:p>
    <w:p w:rsidR="006F1D5C" w:rsidRDefault="006F1D5C" w:rsidP="006F1D5C">
      <w:pPr>
        <w:pStyle w:val="af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Здійснювати забезпечення громадян, зареєстрованих на території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сільської ради,  які у разі повної, часткової або тимчасової втрати працездатності,  через потребу у постійному сторонньому догляді, спричиненого інвалідністю, віком , станом здоров’я, потребують надання соціальних послуг за рахунок коштів місцевого бюджету.</w:t>
      </w:r>
    </w:p>
    <w:p w:rsidR="006F1D5C" w:rsidRDefault="006F1D5C" w:rsidP="006F1D5C">
      <w:pPr>
        <w:pStyle w:val="af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 даного рішення покласти на начальника відділу освіти,  молоді, спорту та соціального захисту населення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Зубову Ж.О., начальника відділу фінансів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Голубовську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О.М., постійну комісію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 ради з питань фінансів, бюджету, планування, соціально-економічного розвитку, інвестицій та міжнародного співробітництва (голова комісії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) .</w:t>
      </w:r>
    </w:p>
    <w:p w:rsidR="006F1D5C" w:rsidRDefault="006F1D5C" w:rsidP="006F1D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pStyle w:val="HTML0"/>
        <w:rPr>
          <w:rFonts w:ascii="Times New Roman" w:hAnsi="Times New Roman"/>
          <w:lang w:val="uk-UA"/>
        </w:rPr>
      </w:pPr>
    </w:p>
    <w:p w:rsidR="006F1D5C" w:rsidRDefault="006F1D5C" w:rsidP="006F1D5C">
      <w:pPr>
        <w:pStyle w:val="HTML0"/>
        <w:rPr>
          <w:rFonts w:ascii="Times New Roman" w:hAnsi="Times New Roman"/>
          <w:lang w:val="uk-UA"/>
        </w:rPr>
      </w:pPr>
    </w:p>
    <w:p w:rsidR="006F1D5C" w:rsidRDefault="006F1D5C" w:rsidP="006F1D5C">
      <w:pPr>
        <w:pStyle w:val="HTML0"/>
        <w:rPr>
          <w:rFonts w:ascii="Times New Roman" w:hAnsi="Times New Roman"/>
          <w:lang w:val="uk-UA"/>
        </w:rPr>
      </w:pPr>
    </w:p>
    <w:p w:rsidR="006F1D5C" w:rsidRDefault="006F1D5C" w:rsidP="006F1D5C">
      <w:pPr>
        <w:pStyle w:val="HTML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Сільський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голова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В.А.Михалюк</w:t>
      </w:r>
      <w:proofErr w:type="spellEnd"/>
      <w:r>
        <w:rPr>
          <w:rFonts w:ascii="Times New Roman" w:hAnsi="Times New Roman"/>
        </w:rPr>
        <w:t xml:space="preserve">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96" w:type="dxa"/>
        <w:tblLook w:val="04A0"/>
      </w:tblPr>
      <w:tblGrid>
        <w:gridCol w:w="2375"/>
      </w:tblGrid>
      <w:tr w:rsidR="006F1D5C" w:rsidTr="006F1D5C">
        <w:tc>
          <w:tcPr>
            <w:tcW w:w="2658" w:type="dxa"/>
          </w:tcPr>
          <w:p w:rsidR="006F1D5C" w:rsidRDefault="006F1D5C">
            <w:pPr>
              <w:autoSpaceDE w:val="0"/>
              <w:spacing w:after="0"/>
              <w:rPr>
                <w:rFonts w:ascii="Times New Roman" w:eastAsia="Times New Roman CYR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Додаток </w:t>
            </w:r>
          </w:p>
          <w:p w:rsidR="006F1D5C" w:rsidRDefault="006F1D5C">
            <w:pPr>
              <w:autoSpaceDE w:val="0"/>
              <w:spacing w:after="0"/>
              <w:rPr>
                <w:rFonts w:ascii="Times New Roman" w:eastAsia="Times New Roman CYR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bCs/>
                <w:kern w:val="2"/>
                <w:sz w:val="24"/>
                <w:szCs w:val="24"/>
              </w:rPr>
              <w:t xml:space="preserve">до рішення ХV сесії  </w:t>
            </w:r>
            <w:proofErr w:type="spellStart"/>
            <w:r>
              <w:rPr>
                <w:rFonts w:ascii="Times New Roman" w:eastAsia="Times New Roman CYR" w:hAnsi="Times New Roman" w:cs="Times New Roman"/>
                <w:bCs/>
                <w:kern w:val="2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eastAsia="Times New Roman CYR" w:hAnsi="Times New Roman" w:cs="Times New Roman"/>
                <w:bCs/>
                <w:kern w:val="2"/>
                <w:sz w:val="24"/>
                <w:szCs w:val="24"/>
              </w:rPr>
              <w:t xml:space="preserve"> сільської ради  VІІ скликання</w:t>
            </w:r>
          </w:p>
          <w:p w:rsidR="006F1D5C" w:rsidRDefault="006F1D5C">
            <w:pPr>
              <w:autoSpaceDE w:val="0"/>
              <w:spacing w:after="0"/>
              <w:rPr>
                <w:rFonts w:ascii="Times New Roman" w:eastAsia="Times New Roman CYR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bCs/>
                <w:kern w:val="2"/>
                <w:sz w:val="24"/>
                <w:szCs w:val="24"/>
              </w:rPr>
              <w:t>від 22.11.2018р. №4</w:t>
            </w:r>
          </w:p>
          <w:p w:rsidR="006F1D5C" w:rsidRDefault="006F1D5C">
            <w:pPr>
              <w:autoSpaceDE w:val="0"/>
              <w:spacing w:after="0"/>
              <w:jc w:val="right"/>
              <w:rPr>
                <w:rFonts w:ascii="Times New Roman" w:eastAsia="Times New Roman CYR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2"/>
          <w:sz w:val="24"/>
          <w:szCs w:val="24"/>
          <w:lang w:eastAsia="ru-RU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 CYR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Times New Roman CYR" w:hAnsi="Times New Roman" w:cs="Times New Roman"/>
          <w:b/>
          <w:bCs/>
          <w:kern w:val="2"/>
          <w:sz w:val="24"/>
          <w:szCs w:val="24"/>
        </w:rPr>
        <w:t>ПРОГРАМА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 CYR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Times New Roman CYR" w:hAnsi="Times New Roman" w:cs="Times New Roman"/>
          <w:b/>
          <w:bCs/>
          <w:kern w:val="2"/>
          <w:sz w:val="24"/>
          <w:szCs w:val="24"/>
        </w:rPr>
        <w:t xml:space="preserve">розвитку надання соціальних послуг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 CYR" w:hAnsi="Times New Roman" w:cs="Times New Roman"/>
          <w:kern w:val="2"/>
          <w:sz w:val="24"/>
          <w:szCs w:val="24"/>
        </w:rPr>
      </w:pPr>
      <w:r>
        <w:rPr>
          <w:rFonts w:ascii="Times New Roman" w:eastAsia="Times New Roman CYR" w:hAnsi="Times New Roman" w:cs="Times New Roman"/>
          <w:b/>
          <w:bCs/>
          <w:kern w:val="2"/>
          <w:sz w:val="24"/>
          <w:szCs w:val="24"/>
        </w:rPr>
        <w:t xml:space="preserve">у </w:t>
      </w:r>
      <w:proofErr w:type="spellStart"/>
      <w:r>
        <w:rPr>
          <w:rFonts w:ascii="Times New Roman" w:eastAsia="Times New Roman CYR" w:hAnsi="Times New Roman" w:cs="Times New Roman"/>
          <w:b/>
          <w:bCs/>
          <w:kern w:val="2"/>
          <w:sz w:val="24"/>
          <w:szCs w:val="24"/>
        </w:rPr>
        <w:t>Крупецькій</w:t>
      </w:r>
      <w:proofErr w:type="spellEnd"/>
      <w:r>
        <w:rPr>
          <w:rFonts w:ascii="Times New Roman" w:eastAsia="Times New Roman CYR" w:hAnsi="Times New Roman" w:cs="Times New Roman"/>
          <w:b/>
          <w:bCs/>
          <w:kern w:val="2"/>
          <w:sz w:val="24"/>
          <w:szCs w:val="24"/>
        </w:rPr>
        <w:t xml:space="preserve"> сільській раді на 2018-2022 роки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eastAsia="Times New Roman CYR" w:hAnsi="Times New Roman" w:cs="Times New Roman"/>
          <w:kern w:val="2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 CYR" w:hAnsi="Times New Roman" w:cs="Times New Roman"/>
          <w:b/>
          <w:kern w:val="2"/>
          <w:sz w:val="24"/>
          <w:szCs w:val="24"/>
        </w:rPr>
        <w:t>1. Паспорт Програми</w:t>
      </w:r>
    </w:p>
    <w:tbl>
      <w:tblPr>
        <w:tblW w:w="9840" w:type="dxa"/>
        <w:tblInd w:w="-6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4"/>
        <w:gridCol w:w="3644"/>
        <w:gridCol w:w="1154"/>
        <w:gridCol w:w="1154"/>
        <w:gridCol w:w="1155"/>
        <w:gridCol w:w="1154"/>
        <w:gridCol w:w="1155"/>
      </w:tblGrid>
      <w:tr w:rsidR="006F1D5C" w:rsidTr="006F1D5C">
        <w:trPr>
          <w:trHeight w:val="285"/>
        </w:trPr>
        <w:tc>
          <w:tcPr>
            <w:tcW w:w="4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spacing w:after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36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772" w:type="dxa"/>
            <w:gridSpan w:val="5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Відділ освіти, культури, молоді, спорту та соціального захисту населення сільської ради.</w:t>
            </w:r>
          </w:p>
        </w:tc>
      </w:tr>
      <w:tr w:rsidR="006F1D5C" w:rsidTr="006F1D5C">
        <w:trPr>
          <w:trHeight w:val="510"/>
        </w:trPr>
        <w:tc>
          <w:tcPr>
            <w:tcW w:w="4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36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 xml:space="preserve">Дата, номер і назва розпорядчого документа органу виконавчої влади </w:t>
            </w:r>
          </w:p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про розроблення програми</w:t>
            </w:r>
          </w:p>
        </w:tc>
        <w:tc>
          <w:tcPr>
            <w:tcW w:w="5772" w:type="dxa"/>
            <w:gridSpan w:val="5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 xml:space="preserve">Конституція України,Закон України «Про соціальні послуги»,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акон України «Про місцеве самоврядування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Україні», методичні рекомендації щодо виконання власних (самоврядних) повноважень об'єднаної територіальної громади у сфері соціального захисту населення, наказ Міністерства соціальної політики № 26 від 19.01.2016 р. №1030 від 28.06.2017 р. «Про деякі питання діяльності об’єднаної територіальної громади щодо надання послуг із соціальної підтримки населенню»,</w:t>
            </w:r>
          </w:p>
        </w:tc>
      </w:tr>
      <w:tr w:rsidR="006F1D5C" w:rsidTr="006F1D5C">
        <w:trPr>
          <w:trHeight w:val="360"/>
        </w:trPr>
        <w:tc>
          <w:tcPr>
            <w:tcW w:w="4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3.</w:t>
            </w:r>
          </w:p>
        </w:tc>
        <w:tc>
          <w:tcPr>
            <w:tcW w:w="36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Розробник програми</w:t>
            </w:r>
          </w:p>
        </w:tc>
        <w:tc>
          <w:tcPr>
            <w:tcW w:w="5772" w:type="dxa"/>
            <w:gridSpan w:val="5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Відділ освіти, культури, молоді, спорту та соціального захисту населення сільської ради.</w:t>
            </w:r>
          </w:p>
        </w:tc>
      </w:tr>
      <w:tr w:rsidR="006F1D5C" w:rsidTr="006F1D5C">
        <w:trPr>
          <w:trHeight w:val="195"/>
        </w:trPr>
        <w:tc>
          <w:tcPr>
            <w:tcW w:w="4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4.</w:t>
            </w:r>
          </w:p>
        </w:tc>
        <w:tc>
          <w:tcPr>
            <w:tcW w:w="36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772" w:type="dxa"/>
            <w:gridSpan w:val="5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Відділ освіти, культури, молоді, спорту та соціального захисту населення сільської ради.</w:t>
            </w:r>
          </w:p>
        </w:tc>
      </w:tr>
      <w:tr w:rsidR="006F1D5C" w:rsidTr="006F1D5C">
        <w:trPr>
          <w:trHeight w:val="270"/>
        </w:trPr>
        <w:tc>
          <w:tcPr>
            <w:tcW w:w="4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5.</w:t>
            </w:r>
          </w:p>
        </w:tc>
        <w:tc>
          <w:tcPr>
            <w:tcW w:w="36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ind w:left="-269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Учасники програми</w:t>
            </w:r>
          </w:p>
        </w:tc>
        <w:tc>
          <w:tcPr>
            <w:tcW w:w="5772" w:type="dxa"/>
            <w:gridSpan w:val="5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 xml:space="preserve"> сільська рада, відділ освіти, культури, молоді, спорту та соціального захисту населення сільської ради.</w:t>
            </w:r>
          </w:p>
        </w:tc>
      </w:tr>
      <w:tr w:rsidR="006F1D5C" w:rsidTr="006F1D5C">
        <w:trPr>
          <w:trHeight w:val="255"/>
        </w:trPr>
        <w:tc>
          <w:tcPr>
            <w:tcW w:w="4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6.</w:t>
            </w:r>
          </w:p>
        </w:tc>
        <w:tc>
          <w:tcPr>
            <w:tcW w:w="36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772" w:type="dxa"/>
            <w:gridSpan w:val="5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2018 – 2022 роки</w:t>
            </w:r>
          </w:p>
          <w:p w:rsidR="006F1D5C" w:rsidRDefault="006F1D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D5C" w:rsidTr="006F1D5C">
        <w:trPr>
          <w:trHeight w:val="183"/>
        </w:trPr>
        <w:tc>
          <w:tcPr>
            <w:tcW w:w="425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7.</w:t>
            </w:r>
          </w:p>
        </w:tc>
        <w:tc>
          <w:tcPr>
            <w:tcW w:w="3646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Етапи реалізації Програми</w:t>
            </w:r>
          </w:p>
        </w:tc>
        <w:tc>
          <w:tcPr>
            <w:tcW w:w="115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2018</w:t>
            </w:r>
          </w:p>
        </w:tc>
        <w:tc>
          <w:tcPr>
            <w:tcW w:w="115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2019</w:t>
            </w:r>
          </w:p>
        </w:tc>
        <w:tc>
          <w:tcPr>
            <w:tcW w:w="11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2020</w:t>
            </w:r>
          </w:p>
        </w:tc>
        <w:tc>
          <w:tcPr>
            <w:tcW w:w="115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2021</w:t>
            </w:r>
          </w:p>
        </w:tc>
        <w:tc>
          <w:tcPr>
            <w:tcW w:w="11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2022</w:t>
            </w:r>
          </w:p>
        </w:tc>
      </w:tr>
      <w:tr w:rsidR="006F1D5C" w:rsidTr="006F1D5C">
        <w:trPr>
          <w:trHeight w:val="480"/>
        </w:trPr>
        <w:tc>
          <w:tcPr>
            <w:tcW w:w="4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6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hideMark/>
          </w:tcPr>
          <w:p w:rsidR="006F1D5C" w:rsidRDefault="006F1D5C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Загальний обсяг фінансових ресурсів, необхідних для реалізації програми, всього: (грн.)</w:t>
            </w:r>
          </w:p>
        </w:tc>
        <w:tc>
          <w:tcPr>
            <w:tcW w:w="115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jc w:val="center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203 000,00</w:t>
            </w:r>
          </w:p>
        </w:tc>
        <w:tc>
          <w:tcPr>
            <w:tcW w:w="115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jc w:val="center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500 000,00</w:t>
            </w:r>
          </w:p>
        </w:tc>
        <w:tc>
          <w:tcPr>
            <w:tcW w:w="11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jc w:val="center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550 000,00</w:t>
            </w:r>
          </w:p>
        </w:tc>
        <w:tc>
          <w:tcPr>
            <w:tcW w:w="115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jc w:val="center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650 000,00</w:t>
            </w:r>
          </w:p>
        </w:tc>
        <w:tc>
          <w:tcPr>
            <w:tcW w:w="11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6F1D5C" w:rsidRDefault="006F1D5C">
            <w:pPr>
              <w:autoSpaceDE w:val="0"/>
              <w:jc w:val="center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750 000,00</w:t>
            </w:r>
          </w:p>
        </w:tc>
      </w:tr>
    </w:tbl>
    <w:p w:rsidR="006F1D5C" w:rsidRDefault="006F1D5C" w:rsidP="006F1D5C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lang w:eastAsia="ru-RU"/>
        </w:rPr>
      </w:pPr>
    </w:p>
    <w:p w:rsidR="006F1D5C" w:rsidRDefault="006F1D5C" w:rsidP="006F1D5C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center"/>
        <w:rPr>
          <w:b/>
        </w:rPr>
      </w:pPr>
      <w:r>
        <w:rPr>
          <w:b/>
        </w:rPr>
        <w:t>2.  Загальні положення</w:t>
      </w:r>
    </w:p>
    <w:p w:rsidR="006F1D5C" w:rsidRDefault="006F1D5C" w:rsidP="006F1D5C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</w:pPr>
      <w:r>
        <w:lastRenderedPageBreak/>
        <w:t>Програма соціального захисту населення розроблена для підтримки малозабезпечених мешканців сільської ради, людей похилого віку, ветеранів, інвалідів, учасників бойових дій, учасників антитерористичної операції, громадян окремих пільгових категорій та внутрішньо переміщених осіб.</w:t>
      </w:r>
    </w:p>
    <w:p w:rsidR="006F1D5C" w:rsidRDefault="006F1D5C" w:rsidP="006F1D5C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</w:pPr>
      <w:r>
        <w:t>Програмою визначено низку заходів щодо поліпшення та вдосконалення роботи органів місцевого самоврядування, громадських інституцій щодо підтримки найбільш незахищених верств населення, а саме тієї категорії громадян сільської ради, які за віком чи за станом здоров’я, або у зв’язку з ситуацією, що склалася на ринку праці, перебувають у скрутному становищі.</w:t>
      </w:r>
    </w:p>
    <w:p w:rsidR="006F1D5C" w:rsidRDefault="006F1D5C" w:rsidP="006F1D5C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</w:pPr>
      <w:r>
        <w:t>У вирішенні проблем соціального захисту населення пріоритетним є надання матеріальної підтримки, соціального забезпечення та соціальних послуг.</w:t>
      </w:r>
    </w:p>
    <w:p w:rsidR="006F1D5C" w:rsidRDefault="006F1D5C" w:rsidP="006F1D5C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</w:pPr>
      <w:r>
        <w:t>Незважаючи на те, що держава докладає зусиль по соціальному захисту осіб, які перебувають у складних життєвих обставинах та потребують допомоги, залишається ще ряд проблем, які потребують розв’язання на місцевому рівні, в тому числі і за рахунок бюджету сільської ради.</w:t>
      </w:r>
    </w:p>
    <w:p w:rsidR="006F1D5C" w:rsidRDefault="006F1D5C" w:rsidP="006F1D5C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</w:pP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Мета Програми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Метою Програми є:</w:t>
      </w:r>
    </w:p>
    <w:p w:rsidR="006F1D5C" w:rsidRDefault="006F1D5C" w:rsidP="006F1D5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вдосконалення та посилення рівня соціального захисту населення територіальної громади ;</w:t>
      </w:r>
    </w:p>
    <w:p w:rsidR="006F1D5C" w:rsidRDefault="006F1D5C" w:rsidP="006F1D5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сприяння підвищенню рівня життя вразливих та соціально незахищених верств населення шляхом їх соціальної підтримки;</w:t>
      </w:r>
    </w:p>
    <w:p w:rsidR="006F1D5C" w:rsidRDefault="006F1D5C" w:rsidP="006F1D5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надання адресної допомоги найбільш незахищеним верствам населення;</w:t>
      </w:r>
    </w:p>
    <w:p w:rsidR="006F1D5C" w:rsidRDefault="006F1D5C" w:rsidP="006F1D5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вирішення питань соціально-побутового та медичного обслуговування громадян, які перебувають у складних життєвих обставинах;</w:t>
      </w:r>
    </w:p>
    <w:p w:rsidR="006F1D5C" w:rsidRDefault="006F1D5C" w:rsidP="006F1D5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надання соціальних послуг з урахуванням визначення потреб та сприяння розвитку системи надання соціальних послуг;</w:t>
      </w:r>
    </w:p>
    <w:p w:rsidR="006F1D5C" w:rsidRDefault="006F1D5C" w:rsidP="006F1D5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забезпечення соціального захисту осіб, які переміщуються з тимчасово окупованої території України та районів проведення антитерористичної операції;</w:t>
      </w:r>
    </w:p>
    <w:p w:rsidR="006F1D5C" w:rsidRDefault="006F1D5C" w:rsidP="006F1D5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забезпечення фінансування додаткових заходів щодо соціального захисту;</w:t>
      </w:r>
    </w:p>
    <w:p w:rsidR="006F1D5C" w:rsidRDefault="006F1D5C" w:rsidP="006F1D5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координація дій органів виконавчої влади та громадських організацій, діяльність яких має соціальну спрямованість.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Завдання Програми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забезпечення досягнення мети Програмою передбачено виконання наступних завдань:</w:t>
      </w:r>
    </w:p>
    <w:p w:rsidR="006F1D5C" w:rsidRDefault="006F1D5C" w:rsidP="006F1D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забезпечення державних гарантій з питань праці та соціального захисту населення;</w:t>
      </w:r>
    </w:p>
    <w:p w:rsidR="006F1D5C" w:rsidRDefault="006F1D5C" w:rsidP="006F1D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формування комплексної системи соціального захисту громадян, які потребують соціальної підтримки;</w:t>
      </w:r>
    </w:p>
    <w:p w:rsidR="006F1D5C" w:rsidRDefault="006F1D5C" w:rsidP="006F1D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удосконалення системи надання соціальної допомоги найбільш вразливим верствам населення, посилення адресної спрямованості;</w:t>
      </w:r>
    </w:p>
    <w:p w:rsidR="006F1D5C" w:rsidRDefault="006F1D5C" w:rsidP="006F1D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підвищення якості соціального обслуговування громадян, які перебувають у складних життєвих обставинах;</w:t>
      </w:r>
    </w:p>
    <w:p w:rsidR="006F1D5C" w:rsidRDefault="006F1D5C" w:rsidP="006F1D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подовження роботи щодо удосконалення якості надання соціальних послуг та сприяння розвитку системи надання соціальних послуг;</w:t>
      </w:r>
    </w:p>
    <w:p w:rsidR="006F1D5C" w:rsidRDefault="006F1D5C" w:rsidP="006F1D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підтримка статутної діяльності громадських організацій, діяльність яких має соціальне спрямування;</w:t>
      </w:r>
    </w:p>
    <w:p w:rsidR="006F1D5C" w:rsidRDefault="006F1D5C" w:rsidP="006F1D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створення умов для максимально раціонального та економного використання коштів сільського бюджету, спрямованих на сферу соціальної допомоги, залучення додаткових, у тому числі благодійних ресурсів, розвиток ділової та творчої активності громадян.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Фінансове забезпечення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Джерелом фінансування Програми є сільський бюджет. Обсяги фінансування заходів Програми є прогнозними. Фінансування Програми здійснюється за рахунок коштів, які передбачаються в місцевому бюджеті на 2018-2022 роки на соціальний захист та соціальне забезпечення, та інших видатків по соціальному захисту населення, а також інших джерел, не заборонених чинним законодавством.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Очікувані результати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Реалізація даної Програми дозволить:</w:t>
      </w:r>
    </w:p>
    <w:p w:rsidR="006F1D5C" w:rsidRDefault="006F1D5C" w:rsidP="006F1D5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посилити адресність соціальної підтримки населення;</w:t>
      </w:r>
    </w:p>
    <w:p w:rsidR="006F1D5C" w:rsidRDefault="006F1D5C" w:rsidP="006F1D5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забезпечити визначення потреби та надання соціальних послуг інвалідам війни, учасникам бойових дій, учасникам антитерористичної операції, одиноким людям похилого віку;</w:t>
      </w:r>
    </w:p>
    <w:p w:rsidR="006F1D5C" w:rsidRDefault="006F1D5C" w:rsidP="006F1D5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підвищити якість та рівень задоволення потреб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отримувача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соціальних послуг;</w:t>
      </w:r>
    </w:p>
    <w:p w:rsidR="006F1D5C" w:rsidRDefault="006F1D5C" w:rsidP="006F1D5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збільшити кількість осіб, охоплених соціальними послугами;</w:t>
      </w:r>
    </w:p>
    <w:p w:rsidR="006F1D5C" w:rsidRDefault="006F1D5C" w:rsidP="006F1D5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розвиватися благодійництву у сфері надання різних видів допомоги та послуг соціально вразливим верствам населення;</w:t>
      </w:r>
    </w:p>
    <w:p w:rsidR="006F1D5C" w:rsidRDefault="006F1D5C" w:rsidP="006F1D5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поліпшити стан соціальної захищеності сімей з дітьми, інвалідів, учасників АТО, ветеранів війни, ветеранів праці та осіб похилого віку;</w:t>
      </w:r>
    </w:p>
    <w:p w:rsidR="006F1D5C" w:rsidRDefault="006F1D5C" w:rsidP="006F1D5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підвищити якість життя внутрішньо переміщеним особам.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Координація та контроль за ходом виконанням Програми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Організаційне забезпечення виконання Програми покладається на відділ освіти, культури, молоді, спорту та соціального захисту населення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відповідно до повноважень.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Координація дій щодо виконання заходів Програми покладається на виконавчий комітет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Програми здійснює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сільська рада.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9D0F94" w:rsidRDefault="009D0F94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C00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1D5C"/>
    <w:rsid w:val="001B5855"/>
    <w:rsid w:val="002875A2"/>
    <w:rsid w:val="005E51E1"/>
    <w:rsid w:val="00641912"/>
    <w:rsid w:val="006F1D5C"/>
    <w:rsid w:val="009D0F94"/>
    <w:rsid w:val="00AC3F97"/>
    <w:rsid w:val="00B05B75"/>
    <w:rsid w:val="00B11393"/>
    <w:rsid w:val="00C00B06"/>
    <w:rsid w:val="00DC5BEB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4970</Words>
  <Characters>2833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2018-11-29T07:01:00Z</dcterms:created>
  <dcterms:modified xsi:type="dcterms:W3CDTF">2018-11-30T06:52:00Z</dcterms:modified>
</cp:coreProperties>
</file>