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8B" w:rsidRPr="00043A60" w:rsidRDefault="0012158B" w:rsidP="0012158B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43A60"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2158B" w:rsidRDefault="0012158B" w:rsidP="0012158B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val="uk-UA"/>
        </w:rPr>
      </w:pPr>
      <w:r w:rsidRPr="00043A60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043A60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43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A60">
        <w:rPr>
          <w:rFonts w:ascii="Times New Roman" w:hAnsi="Times New Roman"/>
          <w:sz w:val="28"/>
          <w:szCs w:val="28"/>
        </w:rPr>
        <w:t>сесії</w:t>
      </w:r>
      <w:proofErr w:type="spellEnd"/>
      <w:r w:rsidRPr="00043A60">
        <w:rPr>
          <w:rFonts w:ascii="Times New Roman" w:hAnsi="Times New Roman"/>
          <w:sz w:val="28"/>
          <w:szCs w:val="28"/>
        </w:rPr>
        <w:t xml:space="preserve"> </w:t>
      </w:r>
      <w:r w:rsidRPr="00043A60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22.12</w:t>
      </w:r>
      <w:r w:rsidRPr="00043A6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30-2022</w:t>
      </w:r>
    </w:p>
    <w:p w:rsidR="00CE0CDF" w:rsidRPr="00CE0CDF" w:rsidRDefault="00CE0CDF" w:rsidP="00CE0CDF">
      <w:pPr>
        <w:pStyle w:val="a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ПРОГРАМА</w:t>
      </w:r>
    </w:p>
    <w:p w:rsidR="00CE0CDF" w:rsidRPr="00CE0CDF" w:rsidRDefault="00CE0CDF" w:rsidP="00503FA5">
      <w:pPr>
        <w:pStyle w:val="a9"/>
        <w:jc w:val="center"/>
        <w:rPr>
          <w:rFonts w:ascii="Times New Roman" w:hAnsi="Times New Roman"/>
          <w:sz w:val="28"/>
          <w:szCs w:val="28"/>
          <w:lang w:bidi="uk-UA"/>
        </w:rPr>
      </w:pP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компенсаційних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виплат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пільговий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проїзд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автомобільним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транспортом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окремим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категоріям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громадян</w:t>
      </w:r>
      <w:proofErr w:type="spellEnd"/>
      <w:r w:rsidR="00647C27" w:rsidRPr="00647C27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647C27" w:rsidRPr="0043220C">
        <w:rPr>
          <w:rFonts w:ascii="Times New Roman" w:hAnsi="Times New Roman"/>
          <w:sz w:val="28"/>
          <w:szCs w:val="28"/>
          <w:lang w:val="uk-UA" w:eastAsia="uk-UA" w:bidi="uk-UA"/>
        </w:rPr>
        <w:t xml:space="preserve">Віньковецької селищної </w:t>
      </w:r>
      <w:r w:rsidR="00647C27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647C27">
        <w:rPr>
          <w:rFonts w:ascii="Times New Roman" w:hAnsi="Times New Roman"/>
          <w:sz w:val="28"/>
          <w:szCs w:val="28"/>
          <w:lang w:val="uk-UA" w:eastAsia="uk-UA" w:bidi="uk-UA"/>
        </w:rPr>
        <w:t>ради</w:t>
      </w:r>
    </w:p>
    <w:p w:rsidR="00CE0CDF" w:rsidRDefault="00275306" w:rsidP="00503FA5">
      <w:pPr>
        <w:pStyle w:val="a9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на 2023-202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5</w:t>
      </w:r>
      <w:r w:rsidR="00CE0CDF"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роки</w:t>
      </w:r>
    </w:p>
    <w:p w:rsidR="00CE0CDF" w:rsidRPr="00CE0CDF" w:rsidRDefault="00CE0CDF" w:rsidP="00CE0CDF">
      <w:pPr>
        <w:pStyle w:val="a9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CE0CDF" w:rsidRPr="00CE0CDF" w:rsidRDefault="00CE0CDF" w:rsidP="00CE0CDF">
      <w:pPr>
        <w:pStyle w:val="a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Паспорт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Програми</w:t>
      </w:r>
      <w:proofErr w:type="spellEnd"/>
    </w:p>
    <w:tbl>
      <w:tblPr>
        <w:tblW w:w="98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090"/>
        <w:gridCol w:w="6780"/>
      </w:tblGrid>
      <w:tr w:rsidR="00CE0CDF" w:rsidRPr="00EB599F" w:rsidTr="00CE0CDF">
        <w:trPr>
          <w:trHeight w:val="656"/>
        </w:trPr>
        <w:tc>
          <w:tcPr>
            <w:tcW w:w="3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Ініціатор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Віньковецька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селищна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CE0CDF" w:rsidRPr="00EB599F" w:rsidTr="00CE0CDF">
        <w:trPr>
          <w:trHeight w:val="725"/>
        </w:trPr>
        <w:tc>
          <w:tcPr>
            <w:tcW w:w="3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Розробник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Відділ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соціальних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послуг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Віньковецької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селищної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CE0CDF" w:rsidRPr="00A23E8B" w:rsidTr="00CE0CDF">
        <w:trPr>
          <w:trHeight w:val="881"/>
        </w:trPr>
        <w:tc>
          <w:tcPr>
            <w:tcW w:w="3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Відповідальні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виконавці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B59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надання соціальних послуг Віньковецької селищної ради, Віньковецька селищна рада, відділ фінансів Віньковецької селищної ради</w:t>
            </w:r>
          </w:p>
        </w:tc>
      </w:tr>
      <w:tr w:rsidR="00CE0CDF" w:rsidRPr="00EB599F" w:rsidTr="00CE0CDF">
        <w:trPr>
          <w:trHeight w:val="644"/>
        </w:trPr>
        <w:tc>
          <w:tcPr>
            <w:tcW w:w="3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275306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2023-202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  <w:r w:rsidR="00CE0CDF"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роки</w:t>
            </w:r>
          </w:p>
        </w:tc>
      </w:tr>
      <w:tr w:rsidR="00CE0CDF" w:rsidRPr="00EB599F" w:rsidTr="00CE0CDF">
        <w:trPr>
          <w:trHeight w:val="855"/>
        </w:trPr>
        <w:tc>
          <w:tcPr>
            <w:tcW w:w="3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Перелік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бюджетів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беруть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участь у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виконанні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Віньковецький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селищний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бюджет</w:t>
            </w:r>
          </w:p>
        </w:tc>
      </w:tr>
      <w:tr w:rsidR="00CE0CDF" w:rsidRPr="00CE0CDF" w:rsidTr="00CE0CDF">
        <w:trPr>
          <w:trHeight w:val="540"/>
        </w:trPr>
        <w:tc>
          <w:tcPr>
            <w:tcW w:w="3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Загальний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обсяг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фінансових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ресурсів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2023р.- 190,0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тисяч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грн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  <w:p w:rsidR="00CE0CDF" w:rsidRPr="00EB599F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2024р.- 190,0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тисяч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грн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  <w:p w:rsidR="00CE0CDF" w:rsidRPr="00275306" w:rsidRDefault="00CE0CDF" w:rsidP="00CE0CD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2025р.- 190,0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тисяч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грн</w:t>
            </w:r>
            <w:proofErr w:type="spellEnd"/>
            <w:r w:rsidRPr="00EB599F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CE0CDF" w:rsidRDefault="00CE0CDF" w:rsidP="00CE0CDF">
      <w:pPr>
        <w:pStyle w:val="a9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CE0CDF" w:rsidRDefault="001431FE" w:rsidP="00CE0CDF">
      <w:pPr>
        <w:pStyle w:val="a9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1431FE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  <w:r w:rsidR="00CE0CDF" w:rsidRPr="00CE0CDF">
        <w:rPr>
          <w:rFonts w:ascii="Times New Roman" w:hAnsi="Times New Roman"/>
          <w:sz w:val="28"/>
          <w:szCs w:val="28"/>
          <w:lang w:eastAsia="uk-UA"/>
        </w:rPr>
        <w:t> </w:t>
      </w:r>
      <w:proofErr w:type="spellStart"/>
      <w:r w:rsidR="00CE0CDF"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Визначення</w:t>
      </w:r>
      <w:proofErr w:type="spellEnd"/>
      <w:r w:rsidR="00CE0CDF"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CE0CDF"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проблеми</w:t>
      </w:r>
      <w:proofErr w:type="spellEnd"/>
      <w:r w:rsidR="00CE0CDF"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, </w:t>
      </w:r>
    </w:p>
    <w:p w:rsidR="00CE0CDF" w:rsidRPr="00CE0CDF" w:rsidRDefault="00CE0CDF" w:rsidP="00CE0CDF">
      <w:pPr>
        <w:pStyle w:val="a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на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розв’язання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якої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спрямована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Програма</w:t>
      </w:r>
      <w:proofErr w:type="spellEnd"/>
      <w:r w:rsidR="00503FA5" w:rsidRPr="00503FA5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</w:p>
    <w:p w:rsidR="00CE0CDF" w:rsidRPr="00CE0CDF" w:rsidRDefault="00CE0CDF" w:rsidP="00CE0CDF">
      <w:pPr>
        <w:pStyle w:val="a9"/>
        <w:jc w:val="center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компенсаційних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виплат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пільговий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проїзд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автомобільним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транспортом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окремим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категоріям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громадян</w:t>
      </w:r>
      <w:proofErr w:type="spellEnd"/>
    </w:p>
    <w:p w:rsidR="00CE0CDF" w:rsidRDefault="00647C27" w:rsidP="00CE0CDF">
      <w:pPr>
        <w:pStyle w:val="a9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43220C">
        <w:rPr>
          <w:rFonts w:ascii="Times New Roman" w:hAnsi="Times New Roman"/>
          <w:sz w:val="28"/>
          <w:szCs w:val="28"/>
          <w:lang w:val="uk-UA" w:eastAsia="uk-UA" w:bidi="uk-UA"/>
        </w:rPr>
        <w:t xml:space="preserve">Віньковецької селищної 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ради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275306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на 2023-202</w:t>
      </w:r>
      <w:r w:rsidR="00275306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5</w:t>
      </w:r>
      <w:r w:rsidR="00CE0CDF"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роки</w:t>
      </w: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Програма</w:t>
      </w:r>
      <w:r w:rsidR="00275306" w:rsidRPr="00275306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компенсаційних виплат на пільговий проїзд автомобільним транспортом окремим категоріям громадян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47C27" w:rsidRPr="0043220C">
        <w:rPr>
          <w:rFonts w:ascii="Times New Roman" w:hAnsi="Times New Roman"/>
          <w:sz w:val="28"/>
          <w:szCs w:val="28"/>
          <w:lang w:val="uk-UA" w:eastAsia="uk-UA" w:bidi="uk-UA"/>
        </w:rPr>
        <w:t xml:space="preserve">Віньковецької селищної </w:t>
      </w:r>
      <w:r w:rsidR="00647C27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647C27">
        <w:rPr>
          <w:rFonts w:ascii="Times New Roman" w:hAnsi="Times New Roman"/>
          <w:sz w:val="28"/>
          <w:szCs w:val="28"/>
          <w:lang w:val="uk-UA" w:eastAsia="uk-UA" w:bidi="uk-UA"/>
        </w:rPr>
        <w:t>ради</w:t>
      </w:r>
      <w:r w:rsidR="00647C27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75306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на 2023-2025</w:t>
      </w:r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роки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(далі-Програма)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E0CDF">
        <w:rPr>
          <w:rFonts w:ascii="Times New Roman" w:hAnsi="Times New Roman"/>
          <w:sz w:val="28"/>
          <w:szCs w:val="28"/>
          <w:shd w:val="clear" w:color="auto" w:fill="FBFBFB"/>
          <w:lang w:val="uk-UA"/>
        </w:rPr>
        <w:t>розроблена відповідно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 до</w:t>
      </w:r>
      <w:r w:rsidR="00C27DA7" w:rsidRPr="00C27DA7">
        <w:rPr>
          <w:rFonts w:ascii="Times New Roman" w:hAnsi="Times New Roman"/>
          <w:sz w:val="28"/>
          <w:szCs w:val="28"/>
          <w:shd w:val="clear" w:color="auto" w:fill="FBFBFB"/>
          <w:lang w:val="uk-UA"/>
        </w:rPr>
        <w:t xml:space="preserve"> </w:t>
      </w:r>
      <w:r w:rsidR="00C27DA7" w:rsidRPr="00CE0CDF">
        <w:rPr>
          <w:rFonts w:ascii="Times New Roman" w:hAnsi="Times New Roman"/>
          <w:sz w:val="28"/>
          <w:szCs w:val="28"/>
          <w:shd w:val="clear" w:color="auto" w:fill="FBFBFB"/>
          <w:lang w:val="uk-UA"/>
        </w:rPr>
        <w:t>Бюджетного кодексу України</w:t>
      </w:r>
      <w:r w:rsidR="00C27DA7">
        <w:rPr>
          <w:rFonts w:ascii="Times New Roman" w:hAnsi="Times New Roman"/>
          <w:sz w:val="28"/>
          <w:szCs w:val="28"/>
          <w:shd w:val="clear" w:color="auto" w:fill="FBFBFB"/>
          <w:lang w:val="uk-UA"/>
        </w:rPr>
        <w:t xml:space="preserve">, 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 вимог чинних законодавчих та нормативних а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>ктів України: Законів України «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Про статус ветеранів війни, гарантії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 xml:space="preserve"> їх соціального захисту», «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Про статус і соціальний захист громадян, які постраждали внас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>лідок Чорнобильської катастрофи», «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Про статус ветеранів військової служби, ветеранів органів внутрішніх справ, ветеранів Національної поліції і 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lastRenderedPageBreak/>
        <w:t>деяких інш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>их осіб та їх соціальний захист», «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Про Державну службу спеціального зв'язк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>у та захисту інформації України»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r w:rsidRPr="00EB599F">
        <w:rPr>
          <w:rFonts w:ascii="Times New Roman" w:hAnsi="Times New Roman"/>
          <w:sz w:val="28"/>
          <w:szCs w:val="28"/>
          <w:lang w:val="uk-UA" w:eastAsia="uk-UA"/>
        </w:rPr>
        <w:t>Про основи соціальної захищеності осіб з інвалідністю в Україні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Про соціальний і правовий захист військо</w:t>
      </w:r>
      <w:r w:rsidR="00C27DA7">
        <w:rPr>
          <w:rFonts w:ascii="Times New Roman" w:hAnsi="Times New Roman"/>
          <w:sz w:val="28"/>
          <w:szCs w:val="28"/>
          <w:lang w:val="uk-UA" w:eastAsia="uk-UA"/>
        </w:rPr>
        <w:t xml:space="preserve">вослужбовців та членів їх сімей», «Про охорону дитинства», </w:t>
      </w:r>
      <w:r w:rsidRPr="00CE0CDF">
        <w:rPr>
          <w:rFonts w:ascii="Times New Roman" w:hAnsi="Times New Roman"/>
          <w:sz w:val="28"/>
          <w:szCs w:val="28"/>
          <w:shd w:val="clear" w:color="auto" w:fill="FBFBFB"/>
          <w:lang w:val="uk-UA"/>
        </w:rPr>
        <w:t>«Про автомобільний транспорт»</w:t>
      </w: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0CDF">
        <w:rPr>
          <w:rFonts w:ascii="Times New Roman" w:hAnsi="Times New Roman"/>
          <w:sz w:val="28"/>
          <w:szCs w:val="28"/>
          <w:lang w:eastAsia="uk-UA"/>
        </w:rPr>
        <w:t xml:space="preserve">До 2016 року у Державному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бюджеті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передбачались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видатки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компенсацію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пільговий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проїзд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окремих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категорій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громадян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визначених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законодавством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>.</w:t>
      </w: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0CDF">
        <w:rPr>
          <w:rFonts w:ascii="Times New Roman" w:hAnsi="Times New Roman"/>
          <w:sz w:val="28"/>
          <w:szCs w:val="28"/>
          <w:lang w:val="uk-UA" w:eastAsia="uk-UA"/>
        </w:rPr>
        <w:t>Відповідно до Закону України від 20 грудня 2016 року №1789-</w:t>
      </w:r>
      <w:r w:rsidRPr="00CE0CDF">
        <w:rPr>
          <w:rFonts w:ascii="Times New Roman" w:hAnsi="Times New Roman"/>
          <w:sz w:val="28"/>
          <w:szCs w:val="28"/>
          <w:lang w:eastAsia="uk-UA"/>
        </w:rPr>
        <w:t>VIII</w:t>
      </w:r>
      <w:r w:rsidR="00D436A0"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Про внесення змін до Бюджетного Кодексу</w:t>
      </w:r>
      <w:r w:rsidR="00D436A0">
        <w:rPr>
          <w:rFonts w:ascii="Times New Roman" w:hAnsi="Times New Roman"/>
          <w:sz w:val="28"/>
          <w:szCs w:val="28"/>
          <w:lang w:val="uk-UA" w:eastAsia="uk-UA"/>
        </w:rPr>
        <w:t xml:space="preserve"> України»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який набрав чинності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 1 січня 2017 року, компенсаційні витрати перевізникам за перевезення окремих категорій громадян здійснюються за рахунок коштів місцевих бюджетів, а не за рахунок субвенції з державного бюджету.</w:t>
      </w: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0CDF">
        <w:rPr>
          <w:rFonts w:ascii="Times New Roman" w:hAnsi="Times New Roman"/>
          <w:sz w:val="28"/>
          <w:szCs w:val="28"/>
          <w:lang w:val="uk-UA" w:eastAsia="uk-UA"/>
        </w:rPr>
        <w:t>Ситуація, що склалася, потр</w:t>
      </w:r>
      <w:r w:rsidR="00647C27">
        <w:rPr>
          <w:rFonts w:ascii="Times New Roman" w:hAnsi="Times New Roman"/>
          <w:sz w:val="28"/>
          <w:szCs w:val="28"/>
          <w:lang w:val="uk-UA" w:eastAsia="uk-UA"/>
        </w:rPr>
        <w:t>ебує</w:t>
      </w:r>
      <w:r w:rsidR="00C45235">
        <w:rPr>
          <w:rFonts w:ascii="Times New Roman" w:hAnsi="Times New Roman"/>
          <w:sz w:val="28"/>
          <w:szCs w:val="28"/>
          <w:lang w:val="uk-UA" w:eastAsia="uk-UA"/>
        </w:rPr>
        <w:t xml:space="preserve"> врегулювання, оск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ільки пільговим категоріям громадян 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Віньковецької територіальної громади проблематично скористатися правом на пільговий проїзд 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на приміському та міжміських маршрутах автомобільним транспортом. через відсутність фінансового ресурсу, а перевізник несе фінансові втрати через відсутність компенсаційних виплат за пільгове перевезення окремих категорій громадян.</w:t>
      </w:r>
    </w:p>
    <w:p w:rsidR="00CE0CDF" w:rsidRPr="00CE0CDF" w:rsidRDefault="00CE0CDF" w:rsidP="00CE0CDF">
      <w:pPr>
        <w:pStyle w:val="a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CE0CDF">
        <w:rPr>
          <w:rFonts w:ascii="Times New Roman" w:hAnsi="Times New Roman"/>
          <w:sz w:val="28"/>
          <w:szCs w:val="28"/>
          <w:shd w:val="clear" w:color="auto" w:fill="FBFBFB"/>
        </w:rPr>
        <w:t>Програму</w:t>
      </w:r>
      <w:proofErr w:type="spellEnd"/>
      <w:r w:rsidRPr="00CE0CDF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shd w:val="clear" w:color="auto" w:fill="FBFBFB"/>
        </w:rPr>
        <w:t>передбачаєт</w:t>
      </w:r>
      <w:r w:rsidR="00275306">
        <w:rPr>
          <w:rFonts w:ascii="Times New Roman" w:hAnsi="Times New Roman"/>
          <w:sz w:val="28"/>
          <w:szCs w:val="28"/>
          <w:shd w:val="clear" w:color="auto" w:fill="FBFBFB"/>
        </w:rPr>
        <w:t>ься</w:t>
      </w:r>
      <w:proofErr w:type="spellEnd"/>
      <w:r w:rsidR="00275306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="00275306">
        <w:rPr>
          <w:rFonts w:ascii="Times New Roman" w:hAnsi="Times New Roman"/>
          <w:sz w:val="28"/>
          <w:szCs w:val="28"/>
          <w:shd w:val="clear" w:color="auto" w:fill="FBFBFB"/>
        </w:rPr>
        <w:t>виконати</w:t>
      </w:r>
      <w:proofErr w:type="spellEnd"/>
      <w:r w:rsidR="00275306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="00275306">
        <w:rPr>
          <w:rFonts w:ascii="Times New Roman" w:hAnsi="Times New Roman"/>
          <w:sz w:val="28"/>
          <w:szCs w:val="28"/>
          <w:shd w:val="clear" w:color="auto" w:fill="FBFBFB"/>
        </w:rPr>
        <w:t>протягом</w:t>
      </w:r>
      <w:proofErr w:type="spellEnd"/>
      <w:r w:rsidR="00275306">
        <w:rPr>
          <w:rFonts w:ascii="Times New Roman" w:hAnsi="Times New Roman"/>
          <w:sz w:val="28"/>
          <w:szCs w:val="28"/>
          <w:shd w:val="clear" w:color="auto" w:fill="FBFBFB"/>
        </w:rPr>
        <w:t xml:space="preserve">  2023-202</w:t>
      </w:r>
      <w:r w:rsidR="00275306">
        <w:rPr>
          <w:rFonts w:ascii="Times New Roman" w:hAnsi="Times New Roman"/>
          <w:sz w:val="28"/>
          <w:szCs w:val="28"/>
          <w:shd w:val="clear" w:color="auto" w:fill="FBFBFB"/>
          <w:lang w:val="uk-UA"/>
        </w:rPr>
        <w:t>5</w:t>
      </w:r>
      <w:r w:rsidRPr="00CE0CDF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shd w:val="clear" w:color="auto" w:fill="FBFBFB"/>
        </w:rPr>
        <w:t>років</w:t>
      </w:r>
      <w:proofErr w:type="spellEnd"/>
      <w:r w:rsidRPr="00CE0CDF">
        <w:rPr>
          <w:rFonts w:ascii="Times New Roman" w:hAnsi="Times New Roman"/>
          <w:sz w:val="28"/>
          <w:szCs w:val="28"/>
          <w:shd w:val="clear" w:color="auto" w:fill="FBFBFB"/>
        </w:rPr>
        <w:t>.</w:t>
      </w:r>
    </w:p>
    <w:p w:rsid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Фінансування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здійснюється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у межах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фактичних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коштів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передбачених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селищному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бюджеті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>, та  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інших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джерел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фінансування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, не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заборонених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законодавством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Конкретний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розмір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фінансових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показників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визначається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відповідним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рішенням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селищної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ради на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відповідний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бюджетний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>.</w:t>
      </w: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E0CDF" w:rsidRPr="009A1A58" w:rsidRDefault="00CE0CDF" w:rsidP="00CE0CDF">
      <w:pPr>
        <w:pStyle w:val="a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A1A58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1431FE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2.</w:t>
      </w:r>
      <w:r w:rsidRPr="009A1A58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Мета Програми</w:t>
      </w:r>
    </w:p>
    <w:p w:rsid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Метою Програми є реалізація державної політики в галузі соціального захисту населення окремих категорій населення Віньковецької територіальної громади 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шляхом фінансового забезпечення компенсації пільгового проїзду окремих категорій громадян 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на приміському та міжміських маршрутах автомобільним транспортом. за рахунок коштів </w:t>
      </w:r>
      <w:r>
        <w:rPr>
          <w:rFonts w:ascii="Times New Roman" w:hAnsi="Times New Roman"/>
          <w:sz w:val="28"/>
          <w:szCs w:val="28"/>
          <w:lang w:val="uk-UA" w:eastAsia="uk-UA"/>
        </w:rPr>
        <w:t>м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ісцевого бюджету.</w:t>
      </w: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E0CDF" w:rsidRPr="00A23E8B" w:rsidRDefault="001431FE" w:rsidP="00CE0CDF">
      <w:pPr>
        <w:pStyle w:val="a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3.</w:t>
      </w:r>
      <w:r w:rsidR="00CE0CDF" w:rsidRPr="00A23E8B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Завдання Програми</w:t>
      </w:r>
    </w:p>
    <w:p w:rsidR="00CE0CDF" w:rsidRPr="00A23E8B" w:rsidRDefault="00CE0CDF" w:rsidP="00793E7C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23E8B">
        <w:rPr>
          <w:rFonts w:ascii="Times New Roman" w:hAnsi="Times New Roman"/>
          <w:sz w:val="28"/>
          <w:szCs w:val="28"/>
          <w:lang w:val="uk-UA" w:eastAsia="uk-UA"/>
        </w:rPr>
        <w:t>Зниження соціальної напруги серед</w:t>
      </w:r>
      <w:r w:rsidR="00793E7C" w:rsidRPr="00A23E8B">
        <w:rPr>
          <w:rFonts w:ascii="Times New Roman" w:hAnsi="Times New Roman"/>
          <w:sz w:val="28"/>
          <w:szCs w:val="28"/>
          <w:lang w:val="uk-UA" w:eastAsia="uk-UA"/>
        </w:rPr>
        <w:t xml:space="preserve"> населення громади</w:t>
      </w:r>
      <w:r w:rsidR="00793E7C">
        <w:rPr>
          <w:rFonts w:ascii="Times New Roman" w:hAnsi="Times New Roman"/>
          <w:sz w:val="28"/>
          <w:szCs w:val="28"/>
          <w:lang w:val="uk-UA" w:eastAsia="uk-UA"/>
        </w:rPr>
        <w:t xml:space="preserve"> шляхом </w:t>
      </w:r>
      <w:r w:rsidR="00793E7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к</w:t>
      </w:r>
      <w:r w:rsidR="00793E7C" w:rsidRPr="00A23E8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омпенсаці</w:t>
      </w:r>
      <w:r w:rsidR="00793E7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ї</w:t>
      </w:r>
      <w:r w:rsidRPr="00A23E8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вартості перевезень окремих пільгових категорій громадян автомобільним (залізничним) транспортом на приміських</w:t>
      </w:r>
      <w:r w:rsidR="00793E7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та міжміських</w:t>
      </w:r>
      <w:r w:rsidRPr="00A23E8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маршрутах згідно укладених з перевізниками договорів.</w:t>
      </w:r>
    </w:p>
    <w:p w:rsidR="00CE0CDF" w:rsidRPr="00F13952" w:rsidRDefault="00CE0CDF" w:rsidP="00F1395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Реалізація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Програми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забезпечить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організацію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пільгового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проїзду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окремих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категорій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громадян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приміських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CE0CD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та міжміських </w:t>
      </w:r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маршрутах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загального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користування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автомобільним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транспортом та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компенсацію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збитків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перевізникам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від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пільгових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перевезень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окремих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категорій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громадян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автомобільним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транспортом на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приміських</w:t>
      </w:r>
      <w:proofErr w:type="spellEnd"/>
      <w:r w:rsidR="00E06D5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та міжміських</w:t>
      </w:r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маршрутах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загального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користування</w:t>
      </w:r>
      <w:proofErr w:type="spellEnd"/>
      <w:r w:rsidRPr="00CE0CDF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CE0CDF" w:rsidRPr="00647C27" w:rsidRDefault="001431FE" w:rsidP="00CE0CDF">
      <w:pPr>
        <w:pStyle w:val="a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lastRenderedPageBreak/>
        <w:t>4.</w:t>
      </w:r>
      <w:r w:rsidR="00CE0CDF" w:rsidRPr="00647C27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Джерела та обсяг фінансування</w:t>
      </w:r>
      <w:r w:rsidR="00CE0CDF"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="00CE0CDF" w:rsidRPr="00647C27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заходів Програми</w:t>
      </w: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Фінансове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забезпечення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Програми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здійснюється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рахунок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коштів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селищного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бюджету  в межах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видатків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затверджених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B4D">
        <w:rPr>
          <w:rFonts w:ascii="Times New Roman" w:hAnsi="Times New Roman"/>
          <w:sz w:val="28"/>
          <w:szCs w:val="28"/>
          <w:lang w:val="uk-UA" w:eastAsia="uk-UA"/>
        </w:rPr>
        <w:t>селищним</w:t>
      </w:r>
      <w:r w:rsidRPr="00CE0CDF">
        <w:rPr>
          <w:rFonts w:ascii="Times New Roman" w:hAnsi="Times New Roman"/>
          <w:sz w:val="28"/>
          <w:szCs w:val="28"/>
          <w:lang w:eastAsia="uk-UA"/>
        </w:rPr>
        <w:t xml:space="preserve"> бюджетом  за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відповідним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напрямком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виходячи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фінансових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можливостей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селищного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бюджету на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відповідний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>.</w:t>
      </w:r>
    </w:p>
    <w:p w:rsidR="00CE0CDF" w:rsidRDefault="00CE0CDF" w:rsidP="00CE0CDF">
      <w:pPr>
        <w:pStyle w:val="a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13952" w:rsidRPr="001431FE" w:rsidRDefault="001431FE" w:rsidP="00F13952">
      <w:pPr>
        <w:pStyle w:val="a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5.</w:t>
      </w:r>
      <w:r w:rsidR="00F13952" w:rsidRPr="001431FE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Очікувані</w:t>
      </w:r>
      <w:r w:rsidR="00F13952"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 </w:t>
      </w:r>
      <w:r w:rsidR="00F13952" w:rsidRPr="001431FE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результати</w:t>
      </w:r>
      <w:r w:rsidR="00F13952" w:rsidRPr="00CE0CDF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 </w:t>
      </w:r>
      <w:r w:rsidR="00F13952" w:rsidRPr="001431FE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від виконання Програми</w:t>
      </w:r>
    </w:p>
    <w:p w:rsidR="00F13952" w:rsidRPr="00CE0CDF" w:rsidRDefault="00F13952" w:rsidP="00F13952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Реалізація Програми дасть змогу забезпечити окремі категорії громадян </w:t>
      </w:r>
      <w:r w:rsidRPr="00CE0CDF">
        <w:rPr>
          <w:rFonts w:ascii="Times New Roman" w:hAnsi="Times New Roman"/>
          <w:sz w:val="28"/>
          <w:szCs w:val="28"/>
          <w:lang w:eastAsia="uk-UA"/>
        </w:rPr>
        <w:t> 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п</w:t>
      </w:r>
      <w:r w:rsidR="00E06D52">
        <w:rPr>
          <w:rFonts w:ascii="Times New Roman" w:hAnsi="Times New Roman"/>
          <w:sz w:val="28"/>
          <w:szCs w:val="28"/>
          <w:lang w:val="uk-UA" w:eastAsia="uk-UA"/>
        </w:rPr>
        <w:t>ільговим проїздом на приміських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 xml:space="preserve"> та міжміських маршрут</w:t>
      </w:r>
      <w:r w:rsidR="00E06D52">
        <w:rPr>
          <w:rFonts w:ascii="Times New Roman" w:hAnsi="Times New Roman"/>
          <w:sz w:val="28"/>
          <w:szCs w:val="28"/>
          <w:lang w:val="uk-UA" w:eastAsia="uk-UA"/>
        </w:rPr>
        <w:t>ах автомобільним транспортом, а підприємству перевізнику -</w:t>
      </w:r>
      <w:r w:rsidR="00E06D52" w:rsidRPr="00CE0CD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E0CDF">
        <w:rPr>
          <w:rFonts w:ascii="Times New Roman" w:hAnsi="Times New Roman"/>
          <w:sz w:val="28"/>
          <w:szCs w:val="28"/>
          <w:lang w:val="uk-UA" w:eastAsia="uk-UA"/>
        </w:rPr>
        <w:t>отримати відшкодування втрачених доходів.</w:t>
      </w:r>
    </w:p>
    <w:p w:rsidR="00F13952" w:rsidRPr="00F13952" w:rsidRDefault="00F13952" w:rsidP="00CE0CDF">
      <w:pPr>
        <w:pStyle w:val="a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E0CDF" w:rsidRPr="001431FE" w:rsidRDefault="001431FE" w:rsidP="00CE0CDF">
      <w:pPr>
        <w:pStyle w:val="a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6.</w:t>
      </w:r>
      <w:r w:rsidR="00275306" w:rsidRPr="001431FE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К</w:t>
      </w:r>
      <w:r w:rsidR="00CE0CDF" w:rsidRPr="001431FE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онтроль за виконанням Програми</w:t>
      </w:r>
    </w:p>
    <w:p w:rsidR="00275306" w:rsidRPr="009A1A58" w:rsidRDefault="00275306" w:rsidP="0027530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1A5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Програми здійснює  постійна комісія</w:t>
      </w:r>
      <w:r w:rsidRPr="009A1A58">
        <w:rPr>
          <w:rFonts w:ascii="Times New Roman" w:hAnsi="Times New Roman"/>
          <w:sz w:val="28"/>
          <w:szCs w:val="28"/>
          <w:lang w:val="uk-UA"/>
        </w:rPr>
        <w:t xml:space="preserve"> з питань планування соціально-економічного розвитку, бюджету та фінансів, економіки, промисловості, регуляторної політики, інвестицій т</w:t>
      </w:r>
      <w:r>
        <w:rPr>
          <w:rFonts w:ascii="Times New Roman" w:hAnsi="Times New Roman"/>
          <w:sz w:val="28"/>
          <w:szCs w:val="28"/>
          <w:lang w:val="uk-UA"/>
        </w:rPr>
        <w:t>а міжнародного співробітництва селищної ради.</w:t>
      </w:r>
    </w:p>
    <w:p w:rsidR="00275306" w:rsidRPr="00275306" w:rsidRDefault="00CE0CDF" w:rsidP="00275306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Головним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розпорядником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коштів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Програмою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виступає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відділ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соціальних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послуг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Віньковецької </w:t>
      </w:r>
      <w:proofErr w:type="spellStart"/>
      <w:r w:rsidRPr="00CE0CDF">
        <w:rPr>
          <w:rFonts w:ascii="Times New Roman" w:hAnsi="Times New Roman"/>
          <w:sz w:val="28"/>
          <w:szCs w:val="28"/>
          <w:lang w:eastAsia="uk-UA"/>
        </w:rPr>
        <w:t>селищної</w:t>
      </w:r>
      <w:proofErr w:type="spellEnd"/>
      <w:r w:rsidRPr="00CE0CDF">
        <w:rPr>
          <w:rFonts w:ascii="Times New Roman" w:hAnsi="Times New Roman"/>
          <w:sz w:val="28"/>
          <w:szCs w:val="28"/>
          <w:lang w:eastAsia="uk-UA"/>
        </w:rPr>
        <w:t xml:space="preserve"> ради.</w:t>
      </w: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75306" w:rsidRDefault="00275306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847" w:rsidRDefault="00E86847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847" w:rsidRDefault="00E86847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75306" w:rsidRDefault="00275306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E0CDF" w:rsidRPr="00CE0CDF" w:rsidRDefault="00CE0CDF" w:rsidP="00CE0CD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Секретар селищної ради         </w:t>
      </w:r>
      <w:r w:rsidR="00AB2048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Алла ОЛЕНДРА</w:t>
      </w:r>
    </w:p>
    <w:p w:rsidR="00CE0CDF" w:rsidRPr="00CE0CDF" w:rsidRDefault="00CE0CDF" w:rsidP="00CE0CDF">
      <w:pPr>
        <w:rPr>
          <w:rFonts w:ascii="Times New Roman" w:hAnsi="Times New Roman"/>
          <w:sz w:val="24"/>
          <w:szCs w:val="24"/>
          <w:lang w:val="uk-UA"/>
        </w:rPr>
      </w:pPr>
    </w:p>
    <w:p w:rsidR="00CE0CDF" w:rsidRPr="00CE0CDF" w:rsidRDefault="00CE0CDF">
      <w:pPr>
        <w:rPr>
          <w:sz w:val="28"/>
          <w:szCs w:val="28"/>
          <w:lang w:val="uk-UA"/>
        </w:rPr>
      </w:pPr>
    </w:p>
    <w:sectPr w:rsidR="00CE0CDF" w:rsidRPr="00CE0CDF" w:rsidSect="005D59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4B8"/>
    <w:multiLevelType w:val="multilevel"/>
    <w:tmpl w:val="197E3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C90"/>
    <w:rsid w:val="00026962"/>
    <w:rsid w:val="00054724"/>
    <w:rsid w:val="00072988"/>
    <w:rsid w:val="001057E6"/>
    <w:rsid w:val="0012158B"/>
    <w:rsid w:val="00136946"/>
    <w:rsid w:val="001431FE"/>
    <w:rsid w:val="00173286"/>
    <w:rsid w:val="00180CD5"/>
    <w:rsid w:val="00184A18"/>
    <w:rsid w:val="001C64D8"/>
    <w:rsid w:val="0020609F"/>
    <w:rsid w:val="0026692E"/>
    <w:rsid w:val="00275306"/>
    <w:rsid w:val="00277369"/>
    <w:rsid w:val="002C57DA"/>
    <w:rsid w:val="002F2768"/>
    <w:rsid w:val="003336D5"/>
    <w:rsid w:val="00341869"/>
    <w:rsid w:val="00356518"/>
    <w:rsid w:val="0039045F"/>
    <w:rsid w:val="003C2A98"/>
    <w:rsid w:val="003D0967"/>
    <w:rsid w:val="004031C0"/>
    <w:rsid w:val="00413C1B"/>
    <w:rsid w:val="00417A39"/>
    <w:rsid w:val="00427904"/>
    <w:rsid w:val="00444BEE"/>
    <w:rsid w:val="00446AA3"/>
    <w:rsid w:val="00471499"/>
    <w:rsid w:val="00475993"/>
    <w:rsid w:val="004B14AC"/>
    <w:rsid w:val="004C26E1"/>
    <w:rsid w:val="004C4B50"/>
    <w:rsid w:val="004F43A7"/>
    <w:rsid w:val="00503FA5"/>
    <w:rsid w:val="00523F5F"/>
    <w:rsid w:val="00530D27"/>
    <w:rsid w:val="0054725B"/>
    <w:rsid w:val="00547BCA"/>
    <w:rsid w:val="0058002F"/>
    <w:rsid w:val="0058761E"/>
    <w:rsid w:val="00591C50"/>
    <w:rsid w:val="005D59EE"/>
    <w:rsid w:val="00616483"/>
    <w:rsid w:val="00624880"/>
    <w:rsid w:val="00646774"/>
    <w:rsid w:val="00647C27"/>
    <w:rsid w:val="00656C62"/>
    <w:rsid w:val="00660B4D"/>
    <w:rsid w:val="00686C90"/>
    <w:rsid w:val="00700946"/>
    <w:rsid w:val="007125CD"/>
    <w:rsid w:val="00730443"/>
    <w:rsid w:val="00737B41"/>
    <w:rsid w:val="00793E7C"/>
    <w:rsid w:val="00807AB4"/>
    <w:rsid w:val="00814883"/>
    <w:rsid w:val="00815EDA"/>
    <w:rsid w:val="00875EA1"/>
    <w:rsid w:val="008843F1"/>
    <w:rsid w:val="00895E49"/>
    <w:rsid w:val="008B6FD6"/>
    <w:rsid w:val="00967FE1"/>
    <w:rsid w:val="0097739E"/>
    <w:rsid w:val="00981F3A"/>
    <w:rsid w:val="0099089B"/>
    <w:rsid w:val="009A1A58"/>
    <w:rsid w:val="009C5936"/>
    <w:rsid w:val="009E761A"/>
    <w:rsid w:val="00A23E8B"/>
    <w:rsid w:val="00A62EE7"/>
    <w:rsid w:val="00AB2048"/>
    <w:rsid w:val="00AC22AB"/>
    <w:rsid w:val="00AF0828"/>
    <w:rsid w:val="00B23264"/>
    <w:rsid w:val="00B324D1"/>
    <w:rsid w:val="00B555FC"/>
    <w:rsid w:val="00BA2D29"/>
    <w:rsid w:val="00BA598B"/>
    <w:rsid w:val="00BB3DD8"/>
    <w:rsid w:val="00BB407D"/>
    <w:rsid w:val="00BD023A"/>
    <w:rsid w:val="00BD25F2"/>
    <w:rsid w:val="00C17858"/>
    <w:rsid w:val="00C27DA7"/>
    <w:rsid w:val="00C329A9"/>
    <w:rsid w:val="00C45235"/>
    <w:rsid w:val="00CE0CDF"/>
    <w:rsid w:val="00CF30C1"/>
    <w:rsid w:val="00D06537"/>
    <w:rsid w:val="00D071C4"/>
    <w:rsid w:val="00D436A0"/>
    <w:rsid w:val="00D70266"/>
    <w:rsid w:val="00D70498"/>
    <w:rsid w:val="00D87B4D"/>
    <w:rsid w:val="00D92961"/>
    <w:rsid w:val="00DC61F9"/>
    <w:rsid w:val="00DE3F86"/>
    <w:rsid w:val="00E02D8B"/>
    <w:rsid w:val="00E06D52"/>
    <w:rsid w:val="00E86847"/>
    <w:rsid w:val="00EB599F"/>
    <w:rsid w:val="00F01D9A"/>
    <w:rsid w:val="00F13952"/>
    <w:rsid w:val="00F31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0B4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58002F"/>
    <w:pPr>
      <w:widowControl w:val="0"/>
      <w:suppressAutoHyphens/>
      <w:spacing w:after="283" w:line="240" w:lineRule="auto"/>
    </w:pPr>
    <w:rPr>
      <w:rFonts w:ascii="Times New Roman" w:eastAsia="Arial Unicode MS" w:hAnsi="Times New Roman"/>
      <w:kern w:val="1"/>
      <w:sz w:val="24"/>
      <w:szCs w:val="20"/>
      <w:lang w:val="uk-UA" w:eastAsia="ru-RU"/>
    </w:rPr>
  </w:style>
  <w:style w:type="character" w:customStyle="1" w:styleId="a5">
    <w:name w:val="Основной текст Знак"/>
    <w:link w:val="a4"/>
    <w:uiPriority w:val="99"/>
    <w:locked/>
    <w:rsid w:val="0058002F"/>
    <w:rPr>
      <w:rFonts w:ascii="Times New Roman" w:eastAsia="Arial Unicode MS" w:hAnsi="Times New Roman"/>
      <w:kern w:val="1"/>
      <w:sz w:val="24"/>
      <w:lang w:val="uk-UA"/>
    </w:rPr>
  </w:style>
  <w:style w:type="paragraph" w:customStyle="1" w:styleId="a6">
    <w:name w:val="Розпорядження"/>
    <w:basedOn w:val="a"/>
    <w:link w:val="a7"/>
    <w:uiPriority w:val="99"/>
    <w:rsid w:val="0058002F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Розпорядження Знак"/>
    <w:link w:val="a6"/>
    <w:uiPriority w:val="99"/>
    <w:locked/>
    <w:rsid w:val="0058002F"/>
    <w:rPr>
      <w:rFonts w:ascii="Times New Roman" w:hAnsi="Times New Roman"/>
      <w:sz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E0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CE0CDF"/>
    <w:rPr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99"/>
    <w:locked/>
    <w:rsid w:val="00503FA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2022-12-29T06:42:00Z</cp:lastPrinted>
  <dcterms:created xsi:type="dcterms:W3CDTF">2022-12-29T13:43:00Z</dcterms:created>
  <dcterms:modified xsi:type="dcterms:W3CDTF">2022-12-29T13:43:00Z</dcterms:modified>
</cp:coreProperties>
</file>