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CBC" w:rsidRDefault="003D4CBC" w:rsidP="00BF3F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ПРОЄКТ</w:t>
      </w:r>
    </w:p>
    <w:p w:rsidR="003D4CBC" w:rsidRDefault="003D4CBC" w:rsidP="00BF3F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D4CBC" w:rsidRPr="00BF3FD9" w:rsidRDefault="00BF3FD9" w:rsidP="00BF3F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3.8pt" o:ole="" filled="t">
            <v:fill color2="black"/>
            <v:imagedata r:id="rId5" o:title=""/>
          </v:shape>
          <o:OLEObject Type="Embed" ProgID="Word.Picture.8" ShapeID="_x0000_i1025" DrawAspect="Content" ObjectID="_1691663630" r:id="rId6"/>
        </w:object>
      </w:r>
    </w:p>
    <w:p w:rsidR="00BF3FD9" w:rsidRPr="00BF3FD9" w:rsidRDefault="00BF3FD9" w:rsidP="00BF3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НОВОМИКОЛАЇВСЬКА СІЛЬСЬКА РАДА</w:t>
      </w:r>
    </w:p>
    <w:p w:rsidR="00BF3FD9" w:rsidRPr="00BF3FD9" w:rsidRDefault="00BF3FD9" w:rsidP="00BF3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СКАДОВСЬКОГО РАЙОНУ ХЕРСОНСЬКОЇ ОБЛАСТІ</w:t>
      </w:r>
    </w:p>
    <w:p w:rsidR="00BF3FD9" w:rsidRPr="00BF3FD9" w:rsidRDefault="00BF3FD9" w:rsidP="00BF3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______________________ СЕСІЯ</w:t>
      </w:r>
    </w:p>
    <w:p w:rsidR="00BF3FD9" w:rsidRPr="00BF3FD9" w:rsidRDefault="00BF3FD9" w:rsidP="00BF3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ВОСЬМОГО СКЛИКАННЯ</w:t>
      </w:r>
    </w:p>
    <w:p w:rsidR="00BF3FD9" w:rsidRPr="00BF3FD9" w:rsidRDefault="00BF3FD9" w:rsidP="00BF3F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РІШЕННЯ</w:t>
      </w:r>
    </w:p>
    <w:p w:rsidR="00BF3FD9" w:rsidRPr="00BF3FD9" w:rsidRDefault="00BF3FD9" w:rsidP="00BF3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_____________ 2021 року</w:t>
      </w:r>
      <w:r w:rsidRPr="00BF3FD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  <w:t xml:space="preserve">    </w:t>
      </w:r>
      <w:r w:rsidRPr="00BF3FD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  <w:t xml:space="preserve">      </w:t>
      </w:r>
      <w:proofErr w:type="spellStart"/>
      <w:r w:rsidRPr="00BF3FD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с.Новомиколаївка</w:t>
      </w:r>
      <w:proofErr w:type="spellEnd"/>
      <w:r w:rsidRPr="00BF3FD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  <w:t xml:space="preserve">                     №</w:t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hd w:val="clear" w:color="auto" w:fill="FFFFFF"/>
        <w:tabs>
          <w:tab w:val="left" w:pos="3828"/>
        </w:tabs>
        <w:spacing w:after="0" w:line="240" w:lineRule="auto"/>
        <w:ind w:right="5809" w:firstLine="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</w:t>
      </w:r>
      <w:r w:rsidR="003D4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змін до </w:t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місцевої програми  </w:t>
      </w:r>
      <w:bookmarkStart w:id="0" w:name="_Hlk69134759"/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«Соціальний захист населення на 2021 рік»</w:t>
      </w:r>
    </w:p>
    <w:bookmarkEnd w:id="0"/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Заслухавши </w:t>
      </w:r>
      <w:proofErr w:type="spellStart"/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проєкт</w:t>
      </w:r>
      <w:proofErr w:type="spellEnd"/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місцевої програми </w:t>
      </w:r>
      <w:bookmarkStart w:id="1" w:name="_Hlk69134841"/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«Соціальний захист населення на 2021 рік»</w:t>
      </w:r>
      <w:bookmarkEnd w:id="1"/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 обґрунтованим визначенням проблем та напрямків розвитку ради на 2021 рік, керуючись статтею 26, 59 Закону України «Про місцеве самоврядування в Україні», сільська рада</w:t>
      </w: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И Р І Ш И Л А:</w:t>
      </w: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1. Затвердити </w:t>
      </w:r>
      <w:r w:rsidR="003D4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зміни до місцевої програми </w:t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«Соціальний захист населення на 2021 рік» </w:t>
      </w:r>
      <w:r w:rsidR="003D4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викласти програму </w:t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новій редакції (додається).</w:t>
      </w: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2. Контроль за виконанням даного рішення покласти на  постійну  комісію 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 (голова Бурячок В.А.).</w:t>
      </w: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Новомиколаївський</w:t>
      </w:r>
      <w:proofErr w:type="spellEnd"/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сільський голова</w:t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П. ГУЛИЙ</w:t>
      </w: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D4CBC" w:rsidRDefault="00BF3FD9" w:rsidP="00BF3FD9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3D4CBC" w:rsidRDefault="003D4CBC" w:rsidP="00BF3FD9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3D4CBC" w:rsidP="00BF3FD9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</w:t>
      </w:r>
      <w:r w:rsidR="00BF3FD9"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ЗАТВЕРДЖЕНО</w:t>
      </w:r>
    </w:p>
    <w:p w:rsidR="00BF3FD9" w:rsidRPr="00BF3FD9" w:rsidRDefault="00BF3FD9" w:rsidP="00BF3FD9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Рішенням _________</w:t>
      </w:r>
    </w:p>
    <w:p w:rsidR="00BF3FD9" w:rsidRPr="00BF3FD9" w:rsidRDefault="00BF3FD9" w:rsidP="00BF3FD9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сесії </w:t>
      </w:r>
      <w:proofErr w:type="spellStart"/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Новомиколаївської</w:t>
      </w:r>
      <w:proofErr w:type="spellEnd"/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</w:t>
      </w:r>
    </w:p>
    <w:p w:rsidR="00BF3FD9" w:rsidRPr="00BF3FD9" w:rsidRDefault="00BF3FD9" w:rsidP="00BF3FD9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ради восьмого скликання </w:t>
      </w:r>
    </w:p>
    <w:p w:rsidR="00BF3FD9" w:rsidRPr="00BF3FD9" w:rsidRDefault="00BF3FD9" w:rsidP="00BF3FD9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від _______ року № ___</w:t>
      </w: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ПАСПОРТ</w:t>
      </w:r>
    </w:p>
    <w:p w:rsidR="00BF3FD9" w:rsidRPr="00BF3FD9" w:rsidRDefault="00BF3FD9" w:rsidP="00BF3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МІСЦЕВОЇ ПРОГРАМИ</w:t>
      </w:r>
    </w:p>
    <w:p w:rsidR="00BF3FD9" w:rsidRPr="00BF3FD9" w:rsidRDefault="00BF3FD9" w:rsidP="00BF3F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«Соціальний захист населення на 2021 рік» </w:t>
      </w:r>
    </w:p>
    <w:p w:rsidR="00BF3FD9" w:rsidRPr="00BF3FD9" w:rsidRDefault="00BF3FD9" w:rsidP="00BF3F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І. Загальна характеристика програми</w:t>
      </w:r>
    </w:p>
    <w:p w:rsidR="00BF3FD9" w:rsidRPr="00BF3FD9" w:rsidRDefault="00BF3FD9" w:rsidP="00BF3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963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2835"/>
        <w:gridCol w:w="6378"/>
      </w:tblGrid>
      <w:tr w:rsidR="00BF3FD9" w:rsidRPr="00BF3FD9" w:rsidTr="00BF3FD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F3FD9" w:rsidRPr="00BF3FD9" w:rsidRDefault="00BF3FD9" w:rsidP="00BF3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F3FD9" w:rsidRPr="00BF3FD9" w:rsidRDefault="00BF3FD9" w:rsidP="00BF3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 </w:t>
            </w:r>
            <w:proofErr w:type="spellStart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Новомиколаївської</w:t>
            </w:r>
            <w:proofErr w:type="spellEnd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сільської ради</w:t>
            </w:r>
          </w:p>
        </w:tc>
      </w:tr>
      <w:tr w:rsidR="00BF3FD9" w:rsidRPr="00BF3FD9" w:rsidTr="00BF3FD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F3FD9" w:rsidRPr="00BF3FD9" w:rsidRDefault="00BF3FD9" w:rsidP="00BF3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3FD9" w:rsidRPr="00BF3FD9" w:rsidRDefault="00BF3FD9" w:rsidP="00BF3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F3FD9" w:rsidRPr="00BF3FD9" w:rsidTr="00BF3FD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F3FD9" w:rsidRPr="00BF3FD9" w:rsidRDefault="00BF3FD9" w:rsidP="00BF3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Розробник програми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F3FD9" w:rsidRPr="00BF3FD9" w:rsidRDefault="00BF3FD9" w:rsidP="00BF3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Відділ освіти, культури, молоді та спорту, соціального захисту населення виконавчого комітету </w:t>
            </w:r>
            <w:proofErr w:type="spellStart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Новомиколаївської</w:t>
            </w:r>
            <w:proofErr w:type="spellEnd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сільської ради  </w:t>
            </w:r>
          </w:p>
        </w:tc>
      </w:tr>
      <w:tr w:rsidR="00BF3FD9" w:rsidRPr="00BF3FD9" w:rsidTr="00BF3FD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F3FD9" w:rsidRPr="00BF3FD9" w:rsidRDefault="00BF3FD9" w:rsidP="00BF3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F3FD9" w:rsidRPr="00BF3FD9" w:rsidRDefault="00BF3FD9" w:rsidP="00BF3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Відділ освіти, культури, молоді та спорту, соціального захисту населення виконавчого комітету </w:t>
            </w:r>
            <w:proofErr w:type="spellStart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Новомиколаївської</w:t>
            </w:r>
            <w:proofErr w:type="spellEnd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сільської ради  </w:t>
            </w:r>
          </w:p>
        </w:tc>
      </w:tr>
      <w:tr w:rsidR="00BF3FD9" w:rsidRPr="0094250A" w:rsidTr="00BF3FD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F3FD9" w:rsidRPr="00BF3FD9" w:rsidRDefault="00BF3FD9" w:rsidP="00BF3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Учасники програми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F3FD9" w:rsidRPr="00BF3FD9" w:rsidRDefault="00BF3FD9" w:rsidP="00BF3FD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Відділ освіти, культури, молоді та спорту, соціального захисту населення виконавчого комітету </w:t>
            </w:r>
            <w:proofErr w:type="spellStart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Новомиколаївської</w:t>
            </w:r>
            <w:proofErr w:type="spellEnd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сільської ради,  Управління праці та соціального захисту населення районної державної адміністрації, с</w:t>
            </w:r>
            <w:r w:rsidRPr="00BF3F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лужба у справах дітей районної державної адміністрації</w:t>
            </w: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виконком міської ради</w:t>
            </w:r>
          </w:p>
        </w:tc>
      </w:tr>
      <w:tr w:rsidR="00BF3FD9" w:rsidRPr="00BF3FD9" w:rsidTr="00BF3FD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F3FD9" w:rsidRPr="00BF3FD9" w:rsidRDefault="00BF3FD9" w:rsidP="00BF3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 реалізації програми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2021рік</w:t>
            </w:r>
          </w:p>
          <w:p w:rsidR="00BF3FD9" w:rsidRPr="00BF3FD9" w:rsidRDefault="00BF3FD9" w:rsidP="00BF3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F3FD9" w:rsidRPr="00BF3FD9" w:rsidTr="00BF3FD9">
        <w:trPr>
          <w:trHeight w:val="4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F3FD9" w:rsidRPr="00BF3FD9" w:rsidRDefault="00BF3FD9" w:rsidP="00BF3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Загальний обсяг фінансових ресурсів, необхідних для реалізації програми.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</w:t>
            </w: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1рік</w:t>
            </w: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r w:rsidR="0051181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440576</w:t>
            </w: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 гривень</w:t>
            </w:r>
          </w:p>
        </w:tc>
      </w:tr>
    </w:tbl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ІІ. Визначення проблеми, на розв’язання якої спрямована програма</w:t>
      </w:r>
    </w:p>
    <w:p w:rsidR="00BF3FD9" w:rsidRPr="00BF3FD9" w:rsidRDefault="00BF3FD9" w:rsidP="00BF3FD9">
      <w:pPr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Програма «Соціальний захист  населення на 2021 рік» (далі – Програма) розробляється з метою реалізації в громаді чинного законодавства щодо забезпечення сприятливих умов життя ветеранів війни, військовослужбовців, які брали участь в антитерористичній операції, людей похилого віку та осіб з інвалідністю, дітей.</w:t>
      </w:r>
    </w:p>
    <w:p w:rsidR="00BF3FD9" w:rsidRPr="00BF3FD9" w:rsidRDefault="00BF3FD9" w:rsidP="00BF3FD9">
      <w:pPr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Станом на 01 січня 2021 року в громаді проживають 5686 осіб, з них:  учасників війни - 16, ветеранів праці - 267, дітей війни - 259, пенсіонерів - 1175, воїнів-інтернаціоналістів – 11, учасників бойових дій , які брали участь в антитерористичній операції – 70, громадян, які постраждали внаслідок Чорнобильської катастрофи – 18, з них ліквідатори аварії – 2, осіб з інвалідністю загального захворювання – 261, дітей з інвалідністю – 26, дітей-сиріт та дітей позбавлених батьківського піклування – 15.</w:t>
      </w:r>
    </w:p>
    <w:p w:rsidR="00BF3FD9" w:rsidRPr="00BF3FD9" w:rsidRDefault="00BF3FD9" w:rsidP="00BF3FD9">
      <w:pPr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Реалізація заходів Програми спрямована на формування в суспільстві гуманного, шанобливого ставлення до людей похилого віку та осіб з інвалідністю, забезпечення їх активного довголіття.</w:t>
      </w:r>
    </w:p>
    <w:p w:rsidR="00BF3FD9" w:rsidRPr="00BF3FD9" w:rsidRDefault="00BF3FD9" w:rsidP="00BF3FD9">
      <w:pPr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Виконання Програми необхідне для визначення конкретних заходів, окреслення обов’язків і напрямів роботи, виділення та розподілу фінансових ресурсів з метою з метою реалізації в громаді чинного законодавства щодо забезпечення сприятливих умов життя ветеранів війни, військовослужбовців, які брали участь в антитерористичній операції, людей похилого віку та осіб з інвалідністю, дітей-сиріт та дітей позбавлених батьківського піклування та надання їм допомоги.</w:t>
      </w:r>
    </w:p>
    <w:p w:rsidR="00BF3FD9" w:rsidRPr="00BF3FD9" w:rsidRDefault="00BF3FD9" w:rsidP="00BF3FD9">
      <w:pPr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Фінансові ресурси, передбачені Програмою, будуть спрямовані на поліпшення життєзабезпечення осіб вищевказаних категорій, розвиток, розвиток громадянського суспільства.</w:t>
      </w:r>
    </w:p>
    <w:p w:rsidR="00BF3FD9" w:rsidRPr="00BF3FD9" w:rsidRDefault="00BF3FD9" w:rsidP="00BF3FD9">
      <w:pPr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ІІІ. Мета програми</w:t>
      </w:r>
    </w:p>
    <w:p w:rsidR="00BF3FD9" w:rsidRPr="00BF3FD9" w:rsidRDefault="00BF3FD9" w:rsidP="00BF3FD9">
      <w:pPr>
        <w:spacing w:after="0" w:line="23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Метою Програми є:</w:t>
      </w:r>
    </w:p>
    <w:p w:rsidR="00BF3FD9" w:rsidRPr="00BF3FD9" w:rsidRDefault="00BF3FD9" w:rsidP="00BF3FD9">
      <w:pPr>
        <w:spacing w:after="0" w:line="23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здійснення заходів, спрямованих на поліпшення життєзабезпечення осіб похилого віку та осіб з інвалідністю;</w:t>
      </w:r>
    </w:p>
    <w:p w:rsidR="00BF3FD9" w:rsidRPr="00BF3FD9" w:rsidRDefault="00BF3FD9" w:rsidP="00BF3FD9">
      <w:pPr>
        <w:spacing w:after="0" w:line="23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надання  компенсацій та гарантій пільговим категоріям громадян: ветеранам війни, учасникам антитерористичної операції та членам їх сімей, внутрішньо переміщеним особам, ветеранам праці, особам з інвалідністю, людям похилого віку, безпритульним та іншим малозабезпеченим верствам населення; </w:t>
      </w:r>
    </w:p>
    <w:p w:rsidR="00BF3FD9" w:rsidRPr="00BF3FD9" w:rsidRDefault="00BF3FD9" w:rsidP="00BF3FD9">
      <w:pPr>
        <w:spacing w:after="0" w:line="23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надання допомоги  дітям-сиротам  та дітям,  позбавленим батьківського піклування.</w:t>
      </w:r>
    </w:p>
    <w:p w:rsidR="00BF3FD9" w:rsidRPr="00BF3FD9" w:rsidRDefault="00BF3FD9" w:rsidP="00BF3FD9">
      <w:pPr>
        <w:spacing w:after="0" w:line="23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tabs>
          <w:tab w:val="num" w:pos="993"/>
        </w:tabs>
        <w:spacing w:after="0" w:line="232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tabs>
          <w:tab w:val="num" w:pos="993"/>
        </w:tabs>
        <w:spacing w:after="0" w:line="23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Pr="00BF3FD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V</w:t>
      </w:r>
      <w:r w:rsidRPr="00BF3F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 Обґрунтування шляхів і засобів розв’язання проблеми, обсягів та джерел фінансування. Строки виконання Програми</w:t>
      </w:r>
    </w:p>
    <w:p w:rsidR="00BF3FD9" w:rsidRPr="00BF3FD9" w:rsidRDefault="00BF3FD9" w:rsidP="00BF3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Державою встановлюється необхідний рівень гарантій прав людей похилого віку, ветеранів, осіб з інвалідністю, сімей з дітьми, малозабезпечених осіб, внутрішньо переміщених осіб та постраждалих від різних форм насильства в усіх сферах життя суспільства.</w:t>
      </w:r>
    </w:p>
    <w:p w:rsidR="00BF3FD9" w:rsidRPr="00BF3FD9" w:rsidRDefault="00BF3FD9" w:rsidP="00BF3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огляду на сучасні умови життя пенсії, допомоги, пільги, забезпечення технічними засобами реабілітації та пересування, санаторно-курортне лікування, доступність до соціальної інфраструктури не задовольняють повною мірою потреби осіб похилого віку, та осіб з інвалідністю і потребують вжиття на місцевому рівні додаткових заходів.</w:t>
      </w:r>
    </w:p>
    <w:p w:rsidR="00BF3FD9" w:rsidRPr="00BF3FD9" w:rsidRDefault="00BF3FD9" w:rsidP="00BF3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Актуальним залишається забезпечення державних соціальних гарантій, передбачених законодавством, а саме: надання матеріальної допомоги малозабезпеченим верствам населення, виплата державних соціальних допомог, розширення сфери надання соціальних послуг громадянам, у тому числі внутрішньо переміщеним особам, військовослужбовцям, які брали участь в антитерористичній операції, та членам їх сімей.</w:t>
      </w:r>
    </w:p>
    <w:p w:rsidR="00BF3FD9" w:rsidRPr="00BF3FD9" w:rsidRDefault="00BF3FD9" w:rsidP="00BF3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метою сприяння поліпшенню рівня життєзабезпечення осіб вищевказаних категорій, надання якісних соціальних послуг, розвитку громадянського суспільства державна політика у сфері соціального захисту населення спрямовується на виконання пріоритетних завдань за такими основними напрямами:</w:t>
      </w:r>
    </w:p>
    <w:p w:rsidR="00BF3FD9" w:rsidRPr="00BF3FD9" w:rsidRDefault="00BF3FD9" w:rsidP="00BF3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створення сприятливих умов для соціального захисту, реабілітації та адаптації в суспільстві військовослужбовців, які брали участь у бойових діях в зоні проведення антитерористичної операції та членів їх сімей, внутрішньо переміщених осіб, людей похилого віку та осіб з інвалідністю;</w:t>
      </w:r>
    </w:p>
    <w:p w:rsidR="00BF3FD9" w:rsidRPr="00BF3FD9" w:rsidRDefault="00BF3FD9" w:rsidP="00BF3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забезпечення соціального захисту сімей (осіб), які опинилися у складних життєвих обставинах;</w:t>
      </w:r>
    </w:p>
    <w:p w:rsidR="00BF3FD9" w:rsidRPr="00BF3FD9" w:rsidRDefault="00BF3FD9" w:rsidP="00BF3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забезпечення надання соціальних послуг, соціально-побутового обслуговування й адаптації ветеранів та осіб з інвалідністю;</w:t>
      </w:r>
    </w:p>
    <w:p w:rsidR="00BF3FD9" w:rsidRPr="00BF3FD9" w:rsidRDefault="00BF3FD9" w:rsidP="00BF3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забезпечення реабілітації, професійного навчання, працевлаштування осіб з інвалідністю;</w:t>
      </w:r>
    </w:p>
    <w:p w:rsidR="00BF3FD9" w:rsidRPr="00BF3FD9" w:rsidRDefault="00BF3FD9" w:rsidP="00BF3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створення відповідного середовища для осіб з інвалідністю;</w:t>
      </w:r>
    </w:p>
    <w:p w:rsidR="00BF3FD9" w:rsidRPr="00BF3FD9" w:rsidRDefault="00BF3FD9" w:rsidP="00BF3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розв’язання на регіональному рівні проблем торгівлі людьми та ґендерної нерівності в суспільстві;</w:t>
      </w:r>
    </w:p>
    <w:p w:rsidR="00BF3FD9" w:rsidRPr="00BF3FD9" w:rsidRDefault="00BF3FD9" w:rsidP="00BF3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всебічне зміцнення правових, моральних і матеріальних цінностей сімейного життя;</w:t>
      </w:r>
    </w:p>
    <w:p w:rsidR="00BF3FD9" w:rsidRPr="00BF3FD9" w:rsidRDefault="00BF3FD9" w:rsidP="00BF3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підвищення рівня економічної активності та самостійності сімей, оптимізація їх соціального захисту, насамперед тих, які мають дітей;</w:t>
      </w:r>
    </w:p>
    <w:p w:rsidR="00BF3FD9" w:rsidRPr="00BF3FD9" w:rsidRDefault="00BF3FD9" w:rsidP="00BF3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запобігання насильству в сім’ї;</w:t>
      </w:r>
    </w:p>
    <w:p w:rsidR="00BF3FD9" w:rsidRPr="00BF3FD9" w:rsidRDefault="00BF3FD9" w:rsidP="00BF3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співпраця з регіональними громадськими об’єднаннями;</w:t>
      </w:r>
    </w:p>
    <w:p w:rsidR="00BF3FD9" w:rsidRPr="00BF3FD9" w:rsidRDefault="00BF3FD9" w:rsidP="00BF3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інформаційно-просвітницька діяльність, співпраця із засобами масової інформації.</w:t>
      </w:r>
    </w:p>
    <w:p w:rsidR="00BF3FD9" w:rsidRPr="00BF3FD9" w:rsidRDefault="00BF3FD9" w:rsidP="00BF3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Фінансування Програми здійснюватиметься відповідно до чинного законодавства за рахунок коштів місцевого бюджету та інших не заборонених чинним законодавством джерел.</w:t>
      </w:r>
    </w:p>
    <w:p w:rsidR="00BF3FD9" w:rsidRPr="00BF3FD9" w:rsidRDefault="00BF3FD9" w:rsidP="00BF3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Виконання Програми передбачається протягом 2021 року.</w:t>
      </w:r>
    </w:p>
    <w:p w:rsidR="00BF3FD9" w:rsidRPr="00BF3FD9" w:rsidRDefault="00BF3FD9" w:rsidP="00BF3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Ресурсне забезпечення Програми наведено у додатку 1.</w:t>
      </w:r>
    </w:p>
    <w:p w:rsidR="00BF3FD9" w:rsidRPr="00BF3FD9" w:rsidRDefault="00BF3FD9" w:rsidP="00BF3F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V. Перелік завдань Програми та результативні показники</w:t>
      </w:r>
    </w:p>
    <w:p w:rsidR="00BF3FD9" w:rsidRPr="00BF3FD9" w:rsidRDefault="00BF3FD9" w:rsidP="00BF3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Програмою передбачається:</w:t>
      </w:r>
    </w:p>
    <w:p w:rsidR="00BF3FD9" w:rsidRPr="00BF3FD9" w:rsidRDefault="00BF3FD9" w:rsidP="00BF3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підвищення рівня матеріального забезпечення вищезазначених категорій населення шляхом надання матеріальної допомоги;</w:t>
      </w:r>
    </w:p>
    <w:p w:rsidR="00BF3FD9" w:rsidRPr="00BF3FD9" w:rsidRDefault="00BF3FD9" w:rsidP="00BF3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надання  соціальних гарантій ветеранам війни та праці, учасникам бойових дій, які приймали участь в антитерористичній операції, внутрішньо переміщеним особам, особам з інвалідністю;</w:t>
      </w:r>
    </w:p>
    <w:p w:rsidR="00BF3FD9" w:rsidRPr="00BF3FD9" w:rsidRDefault="00BF3FD9" w:rsidP="00BF3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удосконалення системи надання допомоги сім’ям, які перебувають у складних життєвих обставинах, їх соціальне супроводження;</w:t>
      </w:r>
    </w:p>
    <w:p w:rsidR="00BF3FD9" w:rsidRPr="00BF3FD9" w:rsidRDefault="00BF3FD9" w:rsidP="00BF3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надання матеріальної допомоги сім´ям загиблих, померлих, безвісті зниклих військовослужбовців та учасників добровольчих формувань, які брали участь в антитерористичній операції на сході України згідно додатку  «Список отримувачів разової матеріальної допомоги сім’ям учасників бойових дій, військовослужбовців та учасників добровольчих формувань, які брали участь в антитерористичній операції на Сході України та загинули (померли, безвісті зникли) під час проведення антитерористичної операції або при виконанні обов'язків військової служби на 2021 рік».</w:t>
      </w:r>
    </w:p>
    <w:p w:rsidR="00BF3FD9" w:rsidRPr="00BF3FD9" w:rsidRDefault="00BF3FD9" w:rsidP="00BF3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створення умов для підвищення рівня економічної незалежності жінок і чоловіків та для запобігання будь-яким формам дискримінації у сфері економіки праці; </w:t>
      </w:r>
    </w:p>
    <w:p w:rsidR="00BF3FD9" w:rsidRPr="00BF3FD9" w:rsidRDefault="00BF3FD9" w:rsidP="00BF3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сприяння запобіганню та протидії ґендерному насильству, формуванню суспільного неприйняття будь-яких форм насильства, забезпечення необхідної допомоги жертвам насильства та впровадження програми реабілітації кривдників;</w:t>
      </w:r>
    </w:p>
    <w:p w:rsidR="00BF3FD9" w:rsidRPr="00BF3FD9" w:rsidRDefault="00BF3FD9" w:rsidP="00BF3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забезпечення поінформованості суспільства щодо шляхів убезпечення від потрапляння в ситуації торгівлі людьми, а також можливостей отримання відповідної допомоги з метою формування навичок безпечної поведінки у населення;</w:t>
      </w:r>
    </w:p>
    <w:p w:rsidR="00BF3FD9" w:rsidRPr="00BF3FD9" w:rsidRDefault="00BF3FD9" w:rsidP="00BF3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забезпечення надання соціальних послуг у відповідності до державних соціальних стандартів;</w:t>
      </w:r>
    </w:p>
    <w:p w:rsidR="00BF3FD9" w:rsidRPr="00BF3FD9" w:rsidRDefault="00BF3FD9" w:rsidP="00BF3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надання допомоги сім’ям, які перебувають у складних життєвих обставинах, їх соціальне супроводження;</w:t>
      </w:r>
    </w:p>
    <w:p w:rsidR="00BF3FD9" w:rsidRPr="00BF3FD9" w:rsidRDefault="00BF3FD9" w:rsidP="00BF3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забезпечення відновлення прав постраждалих осіб і відшкодування завданої їм шкоди. </w:t>
      </w:r>
    </w:p>
    <w:p w:rsidR="00BF3FD9" w:rsidRPr="00BF3FD9" w:rsidRDefault="00BF3FD9" w:rsidP="00BF3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Виконання заходів Програми дасть змогу підвищити рівень матеріального забезпечення вразливих верств населення, створити більш сприятливі умови для життєдіяльності ветеранів та осіб з інвалідністю, покращити взаємодію органів державної влади, громадських організацій та інших юридичних осіб у сфері торгівлі людьми, відновити права постраждалих осіб.</w:t>
      </w:r>
    </w:p>
    <w:p w:rsidR="00BF3FD9" w:rsidRPr="00BF3FD9" w:rsidRDefault="00BF3FD9" w:rsidP="00BF3F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</w:t>
      </w:r>
      <w:r w:rsidRPr="00BF3FD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Напрями діяльності і заходи програми</w:t>
      </w:r>
    </w:p>
    <w:p w:rsidR="00BF3FD9" w:rsidRPr="00BF3FD9" w:rsidRDefault="00BF3FD9" w:rsidP="00BF3FD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Напрями діяльності та заходи Програми викладені у додатку 3.</w:t>
      </w:r>
    </w:p>
    <w:p w:rsidR="00BF3FD9" w:rsidRPr="00BF3FD9" w:rsidRDefault="00BF3FD9" w:rsidP="00BF3FD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</w:t>
      </w:r>
      <w:r w:rsidRPr="00BF3FD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І. Координація та контроль за ходом виконання Програми</w:t>
      </w:r>
    </w:p>
    <w:p w:rsidR="00BF3FD9" w:rsidRPr="00BF3FD9" w:rsidRDefault="00BF3FD9" w:rsidP="00BF3FD9">
      <w:pPr>
        <w:numPr>
          <w:ilvl w:val="0"/>
          <w:numId w:val="1"/>
        </w:numPr>
        <w:tabs>
          <w:tab w:val="num" w:pos="709"/>
          <w:tab w:val="left" w:pos="851"/>
        </w:tabs>
        <w:autoSpaceDE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Координацію діяльності щодо виконання заходів Програми здійснює  відділ освіти, культури, молоді та спорту, соціального захисту населення виконавчого комітету </w:t>
      </w:r>
      <w:proofErr w:type="spellStart"/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Новомиколаївської</w:t>
      </w:r>
      <w:proofErr w:type="spellEnd"/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ради.  Контроль за виконанням заходів Програми здійснюється виконавчим комітетом </w:t>
      </w:r>
      <w:proofErr w:type="spellStart"/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Новомиколаївської</w:t>
      </w:r>
      <w:proofErr w:type="spellEnd"/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ради.</w:t>
      </w:r>
    </w:p>
    <w:p w:rsidR="00BF3FD9" w:rsidRPr="00BF3FD9" w:rsidRDefault="00BF3FD9" w:rsidP="00BF3FD9">
      <w:pPr>
        <w:numPr>
          <w:ilvl w:val="0"/>
          <w:numId w:val="1"/>
        </w:numPr>
        <w:tabs>
          <w:tab w:val="num" w:pos="709"/>
          <w:tab w:val="left" w:pos="851"/>
        </w:tabs>
        <w:autoSpaceDE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Механізм управління виконанням Програми включає:</w:t>
      </w:r>
    </w:p>
    <w:p w:rsidR="00BF3FD9" w:rsidRPr="00BF3FD9" w:rsidRDefault="00BF3FD9" w:rsidP="00BF3FD9">
      <w:pPr>
        <w:numPr>
          <w:ilvl w:val="0"/>
          <w:numId w:val="1"/>
        </w:numPr>
        <w:tabs>
          <w:tab w:val="num" w:pos="709"/>
          <w:tab w:val="left" w:pos="851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розгляд на сесіях районної ради питань щодо повноти та своєчасності реалізації заходів Програми.</w:t>
      </w:r>
    </w:p>
    <w:p w:rsidR="00BF3FD9" w:rsidRPr="00BF3FD9" w:rsidRDefault="00BF3FD9" w:rsidP="00BF3FD9">
      <w:pPr>
        <w:tabs>
          <w:tab w:val="left" w:pos="851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tabs>
          <w:tab w:val="left" w:pos="851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tabs>
          <w:tab w:val="left" w:pos="851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сільського голови з </w:t>
      </w:r>
    </w:p>
    <w:p w:rsidR="00BF3FD9" w:rsidRPr="00BF3FD9" w:rsidRDefault="00BF3FD9" w:rsidP="00BF3F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питань діяльності виконавчих</w:t>
      </w: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органів сільської ради</w:t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О. БУТЕНКО                                                                                        </w:t>
      </w: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tabs>
          <w:tab w:val="left" w:pos="851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ind w:left="778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ind w:left="778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ind w:left="778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ind w:left="778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ind w:left="778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ind w:left="778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ind w:left="778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ind w:left="778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ind w:left="778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ind w:left="778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ind w:left="778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ind w:left="778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ind w:left="778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ind w:left="8079" w:firstLine="14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ind w:left="8079" w:firstLine="14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ind w:left="8079" w:firstLine="14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ind w:left="8079" w:firstLine="14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1 </w:t>
      </w:r>
    </w:p>
    <w:p w:rsidR="00BF3FD9" w:rsidRPr="00BF3FD9" w:rsidRDefault="00BF3FD9" w:rsidP="00BF3FD9">
      <w:pPr>
        <w:spacing w:after="0" w:line="228" w:lineRule="auto"/>
        <w:ind w:left="7662" w:firstLine="41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до Програми</w:t>
      </w:r>
    </w:p>
    <w:p w:rsidR="00BF3FD9" w:rsidRPr="00BF3FD9" w:rsidRDefault="00BF3FD9" w:rsidP="00BF3FD9">
      <w:pPr>
        <w:spacing w:after="0" w:line="228" w:lineRule="auto"/>
        <w:ind w:left="7662" w:firstLine="41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ind w:left="7662" w:firstLine="41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Ресурсне забезпечення місцевої програми </w:t>
      </w:r>
    </w:p>
    <w:p w:rsidR="00BF3FD9" w:rsidRPr="00BF3FD9" w:rsidRDefault="00BF3FD9" w:rsidP="00BF3FD9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«Соціальний захист  населення на 2021 рік»</w:t>
      </w:r>
    </w:p>
    <w:p w:rsidR="00BF3FD9" w:rsidRPr="00BF3FD9" w:rsidRDefault="00BF3FD9" w:rsidP="00BF3FD9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BF3FD9" w:rsidRPr="00BF3FD9" w:rsidRDefault="00BF3FD9" w:rsidP="00BF3FD9">
      <w:pPr>
        <w:spacing w:after="0" w:line="232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(грн)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80"/>
        <w:gridCol w:w="2976"/>
        <w:gridCol w:w="2239"/>
      </w:tblGrid>
      <w:tr w:rsidR="00BF3FD9" w:rsidRPr="00BF3FD9" w:rsidTr="00BF3FD9">
        <w:trPr>
          <w:trHeight w:val="449"/>
        </w:trPr>
        <w:tc>
          <w:tcPr>
            <w:tcW w:w="4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F3FD9" w:rsidRPr="00BF3FD9" w:rsidRDefault="00BF3FD9" w:rsidP="00BF3FD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Обсяг коштів, які пропонується залучити на виконання районної програми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D9" w:rsidRPr="00BF3FD9" w:rsidRDefault="00BF3FD9" w:rsidP="00BF3FD9">
            <w:pPr>
              <w:widowControl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Рік виконання програми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D9" w:rsidRPr="00BF3FD9" w:rsidRDefault="00BF3FD9" w:rsidP="00BF3FD9">
            <w:pPr>
              <w:widowControl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Усього затрат на виконання програми</w:t>
            </w:r>
          </w:p>
        </w:tc>
      </w:tr>
      <w:tr w:rsidR="00BF3FD9" w:rsidRPr="00BF3FD9" w:rsidTr="00BF3FD9">
        <w:trPr>
          <w:trHeight w:val="449"/>
        </w:trPr>
        <w:tc>
          <w:tcPr>
            <w:tcW w:w="4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D9" w:rsidRPr="00BF3FD9" w:rsidRDefault="00BF3FD9" w:rsidP="00BF3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D9" w:rsidRPr="00BF3FD9" w:rsidRDefault="00BF3FD9" w:rsidP="00BF3FD9">
            <w:pPr>
              <w:widowControl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</w:t>
            </w: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рік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D9" w:rsidRPr="00BF3FD9" w:rsidRDefault="00BF3FD9" w:rsidP="00BF3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F3FD9" w:rsidRPr="00BF3FD9" w:rsidTr="00BF3FD9">
        <w:trPr>
          <w:trHeight w:val="449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F3FD9" w:rsidRPr="00BF3FD9" w:rsidRDefault="00BF3FD9" w:rsidP="00BF3FD9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Обсяг ресурсів, усього тис. грн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D9" w:rsidRPr="00BF3FD9" w:rsidRDefault="00511813" w:rsidP="00BF3FD9">
            <w:pPr>
              <w:widowControl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440576</w:t>
            </w:r>
            <w:r w:rsidR="00BF3FD9"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  <w:p w:rsidR="00BF3FD9" w:rsidRPr="00BF3FD9" w:rsidRDefault="00BF3FD9" w:rsidP="00BF3FD9">
            <w:pPr>
              <w:widowControl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D9" w:rsidRPr="00BF3FD9" w:rsidRDefault="00511813" w:rsidP="00BF3FD9">
            <w:pPr>
              <w:widowControl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440576</w:t>
            </w:r>
            <w:r w:rsidR="00BF3FD9"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  <w:p w:rsidR="00BF3FD9" w:rsidRPr="00BF3FD9" w:rsidRDefault="00BF3FD9" w:rsidP="00BF3FD9">
            <w:pPr>
              <w:widowControl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F3FD9" w:rsidRPr="00BF3FD9" w:rsidRDefault="00BF3FD9" w:rsidP="00BF3FD9">
      <w:pPr>
        <w:spacing w:after="0" w:line="232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32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32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сільського голови з </w:t>
      </w:r>
    </w:p>
    <w:p w:rsidR="00BF3FD9" w:rsidRPr="00BF3FD9" w:rsidRDefault="00BF3FD9" w:rsidP="00BF3F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питань діяльності виконавчих</w:t>
      </w: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органів сільської ради</w:t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О. БУТЕНКО</w:t>
      </w:r>
    </w:p>
    <w:p w:rsidR="00BF3FD9" w:rsidRPr="00BF3FD9" w:rsidRDefault="00BF3FD9" w:rsidP="00BF3FD9">
      <w:pPr>
        <w:spacing w:after="0" w:line="232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32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32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32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32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32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32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32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32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32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32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32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32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32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Додаток 2</w:t>
      </w:r>
    </w:p>
    <w:p w:rsidR="00BF3FD9" w:rsidRPr="00BF3FD9" w:rsidRDefault="00BF3FD9" w:rsidP="00BF3FD9">
      <w:pPr>
        <w:tabs>
          <w:tab w:val="left" w:pos="8280"/>
        </w:tabs>
        <w:spacing w:after="0" w:line="240" w:lineRule="auto"/>
        <w:ind w:left="841" w:firstLine="694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до Програми</w:t>
      </w:r>
    </w:p>
    <w:p w:rsidR="00BF3FD9" w:rsidRPr="00BF3FD9" w:rsidRDefault="00BF3FD9" w:rsidP="00BF3FD9">
      <w:pPr>
        <w:spacing w:after="0" w:line="232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32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32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3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Список</w:t>
      </w:r>
    </w:p>
    <w:p w:rsidR="00BF3FD9" w:rsidRPr="00BF3FD9" w:rsidRDefault="00BF3FD9" w:rsidP="00BF3FD9">
      <w:pPr>
        <w:spacing w:after="0" w:line="23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отримувачів разової матеріальної допомоги сім’ям учасників бойових дій, військовослужбовців та учасників добровольчих формувань, які приймали участь </w:t>
      </w:r>
    </w:p>
    <w:p w:rsidR="00BF3FD9" w:rsidRPr="00BF3FD9" w:rsidRDefault="00BF3FD9" w:rsidP="00BF3FD9">
      <w:pPr>
        <w:spacing w:after="0" w:line="23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антитерористичній операції на Сході України та загинули (померли, безвісті зникли) під час проведення антитерористичної операції або при виконанні обов'язків </w:t>
      </w:r>
    </w:p>
    <w:p w:rsidR="00BF3FD9" w:rsidRPr="00BF3FD9" w:rsidRDefault="00BF3FD9" w:rsidP="00BF3FD9">
      <w:pPr>
        <w:spacing w:after="0" w:line="23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військової служби на 2021 рік</w:t>
      </w:r>
    </w:p>
    <w:p w:rsidR="00BF3FD9" w:rsidRPr="00BF3FD9" w:rsidRDefault="00BF3FD9" w:rsidP="00BF3FD9">
      <w:pPr>
        <w:spacing w:after="0" w:line="23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3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3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3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82"/>
        <w:gridCol w:w="5056"/>
      </w:tblGrid>
      <w:tr w:rsidR="00BF3FD9" w:rsidRPr="00BF3FD9" w:rsidTr="00BF3FD9">
        <w:tc>
          <w:tcPr>
            <w:tcW w:w="4668" w:type="dxa"/>
          </w:tcPr>
          <w:p w:rsidR="00BF3FD9" w:rsidRPr="00BF3FD9" w:rsidRDefault="00BF3FD9" w:rsidP="00BF3FD9">
            <w:pPr>
              <w:spacing w:after="0"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Якущенко</w:t>
            </w:r>
            <w:proofErr w:type="spellEnd"/>
          </w:p>
          <w:p w:rsidR="00BF3FD9" w:rsidRPr="00BF3FD9" w:rsidRDefault="00BF3FD9" w:rsidP="00BF3FD9">
            <w:pPr>
              <w:spacing w:after="0"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Ірина Григорівна</w:t>
            </w:r>
          </w:p>
          <w:p w:rsidR="00BF3FD9" w:rsidRPr="00BF3FD9" w:rsidRDefault="00BF3FD9" w:rsidP="00BF3FD9">
            <w:pPr>
              <w:spacing w:after="0"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32" w:lineRule="auto"/>
              <w:ind w:left="60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(с. </w:t>
            </w:r>
            <w:proofErr w:type="spellStart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Новомиколаївка</w:t>
            </w:r>
            <w:proofErr w:type="spellEnd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Скадовський</w:t>
            </w:r>
            <w:proofErr w:type="spellEnd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район, Херсонська область)</w:t>
            </w:r>
          </w:p>
          <w:p w:rsidR="00BF3FD9" w:rsidRPr="00BF3FD9" w:rsidRDefault="00BF3FD9" w:rsidP="00BF3FD9">
            <w:pPr>
              <w:spacing w:after="0"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185" w:type="dxa"/>
          </w:tcPr>
          <w:p w:rsidR="00BF3FD9" w:rsidRPr="00BF3FD9" w:rsidRDefault="00BF3FD9" w:rsidP="00BF3FD9">
            <w:pPr>
              <w:spacing w:after="0"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дружина </w:t>
            </w:r>
            <w:proofErr w:type="spellStart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Якущенка</w:t>
            </w:r>
            <w:proofErr w:type="spellEnd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Валерія Миколайовича</w:t>
            </w:r>
          </w:p>
        </w:tc>
      </w:tr>
      <w:tr w:rsidR="00BF3FD9" w:rsidRPr="00BF3FD9" w:rsidTr="00BF3FD9">
        <w:tc>
          <w:tcPr>
            <w:tcW w:w="4668" w:type="dxa"/>
          </w:tcPr>
          <w:p w:rsidR="00BF3FD9" w:rsidRPr="00BF3FD9" w:rsidRDefault="00BF3FD9" w:rsidP="00BF3FD9">
            <w:pPr>
              <w:spacing w:after="0"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Глива </w:t>
            </w:r>
          </w:p>
          <w:p w:rsidR="00BF3FD9" w:rsidRPr="00BF3FD9" w:rsidRDefault="00BF3FD9" w:rsidP="00BF3FD9">
            <w:pPr>
              <w:spacing w:after="0"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Наталія Іванівна</w:t>
            </w:r>
          </w:p>
          <w:p w:rsidR="00BF3FD9" w:rsidRPr="00BF3FD9" w:rsidRDefault="00BF3FD9" w:rsidP="00BF3FD9">
            <w:pPr>
              <w:spacing w:after="0"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32" w:lineRule="auto"/>
              <w:ind w:left="60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(с. </w:t>
            </w:r>
            <w:proofErr w:type="spellStart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Новомиколаївка</w:t>
            </w:r>
            <w:proofErr w:type="spellEnd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Скадовський</w:t>
            </w:r>
            <w:proofErr w:type="spellEnd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район, Херсонська область)</w:t>
            </w:r>
          </w:p>
          <w:p w:rsidR="00BF3FD9" w:rsidRPr="00BF3FD9" w:rsidRDefault="00BF3FD9" w:rsidP="00BF3FD9">
            <w:pPr>
              <w:spacing w:after="0"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185" w:type="dxa"/>
          </w:tcPr>
          <w:p w:rsidR="00BF3FD9" w:rsidRPr="00BF3FD9" w:rsidRDefault="00BF3FD9" w:rsidP="00BF3FD9">
            <w:pPr>
              <w:spacing w:after="0"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дружина Гливого Сергія Володимировича</w:t>
            </w:r>
          </w:p>
        </w:tc>
      </w:tr>
    </w:tbl>
    <w:p w:rsidR="00BF3FD9" w:rsidRPr="00BF3FD9" w:rsidRDefault="00BF3FD9" w:rsidP="00BF3FD9">
      <w:pPr>
        <w:spacing w:after="0" w:line="232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32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32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32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32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сільського голови з </w:t>
      </w:r>
    </w:p>
    <w:p w:rsidR="00BF3FD9" w:rsidRPr="00BF3FD9" w:rsidRDefault="00BF3FD9" w:rsidP="00BF3F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питань діяльності виконавчих</w:t>
      </w:r>
    </w:p>
    <w:p w:rsidR="00BF3FD9" w:rsidRPr="00BF3FD9" w:rsidRDefault="00BF3FD9" w:rsidP="00BF3FD9">
      <w:pPr>
        <w:spacing w:after="0" w:line="232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органів сільської ради</w:t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О. БУТЕНКО</w:t>
      </w:r>
    </w:p>
    <w:p w:rsidR="00BF3FD9" w:rsidRPr="00BF3FD9" w:rsidRDefault="00BF3FD9" w:rsidP="00BF3FD9">
      <w:pPr>
        <w:spacing w:after="0" w:line="232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32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sectPr w:rsidR="00BF3FD9" w:rsidRPr="00BF3FD9">
          <w:pgSz w:w="11906" w:h="16838"/>
          <w:pgMar w:top="1134" w:right="567" w:bottom="1134" w:left="1701" w:header="709" w:footer="709" w:gutter="0"/>
          <w:cols w:space="720"/>
        </w:sectPr>
      </w:pPr>
    </w:p>
    <w:p w:rsidR="00BF3FD9" w:rsidRPr="00BF3FD9" w:rsidRDefault="00BF3FD9" w:rsidP="00BF3FD9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Додаток 3</w:t>
      </w:r>
    </w:p>
    <w:p w:rsidR="00BF3FD9" w:rsidRPr="00BF3FD9" w:rsidRDefault="00BF3FD9" w:rsidP="00BF3FD9">
      <w:pPr>
        <w:spacing w:after="0" w:line="228" w:lineRule="auto"/>
        <w:ind w:left="12480" w:firstLine="13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до Програми</w:t>
      </w:r>
    </w:p>
    <w:p w:rsidR="00BF3FD9" w:rsidRPr="00BF3FD9" w:rsidRDefault="00BF3FD9" w:rsidP="00BF3FD9">
      <w:pPr>
        <w:spacing w:after="0" w:line="228" w:lineRule="auto"/>
        <w:ind w:firstLine="1140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2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b/>
          <w:color w:val="000000"/>
          <w:spacing w:val="9"/>
          <w:sz w:val="23"/>
          <w:szCs w:val="23"/>
          <w:lang w:val="uk-UA" w:eastAsia="uk-UA"/>
        </w:rPr>
        <w:t>НАПРЯМИ ДІЯЛЬНОСТІ ТА ЗАХОДИ</w:t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BF3FD9" w:rsidRPr="00BF3FD9" w:rsidRDefault="00BF3FD9" w:rsidP="00BF3FD9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програми «Соціальний захист  населення на 2021 рік»</w:t>
      </w:r>
    </w:p>
    <w:p w:rsidR="00BF3FD9" w:rsidRPr="00BF3FD9" w:rsidRDefault="00BF3FD9" w:rsidP="00BF3FD9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14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958"/>
        <w:gridCol w:w="1439"/>
        <w:gridCol w:w="3103"/>
        <w:gridCol w:w="1777"/>
        <w:gridCol w:w="1700"/>
        <w:gridCol w:w="2473"/>
      </w:tblGrid>
      <w:tr w:rsidR="00BF3FD9" w:rsidRPr="00BF3FD9" w:rsidTr="00BF3FD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widowControl w:val="0"/>
              <w:spacing w:after="0" w:line="240" w:lineRule="auto"/>
              <w:contextualSpacing/>
              <w:jc w:val="center"/>
              <w:rPr>
                <w:b/>
                <w:bCs/>
                <w:spacing w:val="9"/>
                <w:sz w:val="24"/>
                <w:szCs w:val="24"/>
                <w:lang w:val="uk-UA"/>
              </w:rPr>
            </w:pPr>
            <w:r w:rsidRPr="00BF3FD9">
              <w:rPr>
                <w:b/>
                <w:bCs/>
                <w:spacing w:val="9"/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widowControl w:val="0"/>
              <w:spacing w:after="0" w:line="240" w:lineRule="auto"/>
              <w:contextualSpacing/>
              <w:jc w:val="center"/>
              <w:rPr>
                <w:b/>
                <w:bCs/>
                <w:spacing w:val="9"/>
                <w:sz w:val="24"/>
                <w:szCs w:val="24"/>
                <w:lang w:val="uk-UA"/>
              </w:rPr>
            </w:pPr>
            <w:r w:rsidRPr="00BF3FD9">
              <w:rPr>
                <w:b/>
                <w:bCs/>
                <w:spacing w:val="9"/>
                <w:sz w:val="24"/>
                <w:szCs w:val="24"/>
                <w:lang w:val="uk-UA"/>
              </w:rPr>
              <w:t>Строк виконання заходу, роки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widowControl w:val="0"/>
              <w:spacing w:after="0" w:line="240" w:lineRule="auto"/>
              <w:contextualSpacing/>
              <w:jc w:val="center"/>
              <w:rPr>
                <w:b/>
                <w:bCs/>
                <w:spacing w:val="9"/>
                <w:sz w:val="24"/>
                <w:szCs w:val="24"/>
                <w:lang w:val="uk-UA"/>
              </w:rPr>
            </w:pPr>
            <w:r w:rsidRPr="00BF3FD9">
              <w:rPr>
                <w:b/>
                <w:bCs/>
                <w:spacing w:val="9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widowControl w:val="0"/>
              <w:spacing w:after="0" w:line="240" w:lineRule="auto"/>
              <w:contextualSpacing/>
              <w:jc w:val="center"/>
              <w:rPr>
                <w:b/>
                <w:bCs/>
                <w:spacing w:val="9"/>
                <w:sz w:val="24"/>
                <w:szCs w:val="24"/>
                <w:lang w:val="uk-UA"/>
              </w:rPr>
            </w:pPr>
            <w:r w:rsidRPr="00BF3FD9">
              <w:rPr>
                <w:b/>
                <w:bCs/>
                <w:spacing w:val="9"/>
                <w:sz w:val="24"/>
                <w:szCs w:val="24"/>
                <w:lang w:val="uk-UA"/>
              </w:rPr>
              <w:t xml:space="preserve">Джерела </w:t>
            </w:r>
            <w:proofErr w:type="spellStart"/>
            <w:r w:rsidRPr="00BF3FD9">
              <w:rPr>
                <w:b/>
                <w:bCs/>
                <w:spacing w:val="9"/>
                <w:sz w:val="24"/>
                <w:szCs w:val="24"/>
                <w:lang w:val="uk-UA"/>
              </w:rPr>
              <w:t>фінансуван</w:t>
            </w:r>
            <w:proofErr w:type="spellEnd"/>
            <w:r w:rsidRPr="00BF3FD9">
              <w:rPr>
                <w:b/>
                <w:bCs/>
                <w:spacing w:val="9"/>
                <w:sz w:val="24"/>
                <w:szCs w:val="24"/>
                <w:lang w:val="uk-UA"/>
              </w:rPr>
              <w:t>-ня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ind w:right="-6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Орієнтовні обсяги фінансування (вартість),  грн, у тому числі: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Очікуваний результат</w:t>
            </w: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(в натуральних вимірниках)</w:t>
            </w:r>
          </w:p>
        </w:tc>
      </w:tr>
      <w:tr w:rsidR="00BF3FD9" w:rsidRPr="00BF3FD9" w:rsidTr="00BF3FD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widowControl w:val="0"/>
              <w:spacing w:after="0" w:line="240" w:lineRule="auto"/>
              <w:contextualSpacing/>
              <w:jc w:val="center"/>
              <w:rPr>
                <w:b/>
                <w:bCs/>
                <w:spacing w:val="9"/>
                <w:sz w:val="24"/>
                <w:szCs w:val="24"/>
                <w:lang w:val="uk-UA"/>
              </w:rPr>
            </w:pPr>
            <w:r w:rsidRPr="00BF3FD9">
              <w:rPr>
                <w:b/>
                <w:bCs/>
                <w:spacing w:val="9"/>
                <w:sz w:val="24"/>
                <w:szCs w:val="24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widowControl w:val="0"/>
              <w:spacing w:after="0" w:line="240" w:lineRule="auto"/>
              <w:contextualSpacing/>
              <w:jc w:val="center"/>
              <w:rPr>
                <w:b/>
                <w:bCs/>
                <w:spacing w:val="9"/>
                <w:sz w:val="24"/>
                <w:szCs w:val="24"/>
                <w:lang w:val="uk-UA"/>
              </w:rPr>
            </w:pPr>
            <w:r w:rsidRPr="00BF3FD9">
              <w:rPr>
                <w:b/>
                <w:bCs/>
                <w:spacing w:val="9"/>
                <w:sz w:val="24"/>
                <w:szCs w:val="24"/>
                <w:lang w:val="uk-UA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widowControl w:val="0"/>
              <w:spacing w:after="0" w:line="240" w:lineRule="auto"/>
              <w:contextualSpacing/>
              <w:jc w:val="center"/>
              <w:rPr>
                <w:b/>
                <w:bCs/>
                <w:spacing w:val="9"/>
                <w:sz w:val="24"/>
                <w:szCs w:val="24"/>
                <w:lang w:val="uk-UA"/>
              </w:rPr>
            </w:pPr>
            <w:r w:rsidRPr="00BF3FD9">
              <w:rPr>
                <w:b/>
                <w:bCs/>
                <w:spacing w:val="9"/>
                <w:sz w:val="24"/>
                <w:szCs w:val="24"/>
                <w:lang w:val="uk-UA"/>
              </w:rPr>
              <w:t>3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widowControl w:val="0"/>
              <w:spacing w:after="0" w:line="240" w:lineRule="auto"/>
              <w:contextualSpacing/>
              <w:jc w:val="center"/>
              <w:rPr>
                <w:b/>
                <w:bCs/>
                <w:spacing w:val="9"/>
                <w:sz w:val="24"/>
                <w:szCs w:val="24"/>
                <w:lang w:val="uk-UA"/>
              </w:rPr>
            </w:pPr>
            <w:r w:rsidRPr="00BF3FD9">
              <w:rPr>
                <w:b/>
                <w:bCs/>
                <w:spacing w:val="9"/>
                <w:sz w:val="24"/>
                <w:szCs w:val="24"/>
                <w:lang w:val="uk-UA"/>
              </w:rPr>
              <w:t>4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widowControl w:val="0"/>
              <w:spacing w:after="0" w:line="240" w:lineRule="auto"/>
              <w:contextualSpacing/>
              <w:jc w:val="center"/>
              <w:rPr>
                <w:b/>
                <w:bCs/>
                <w:spacing w:val="9"/>
                <w:sz w:val="24"/>
                <w:szCs w:val="24"/>
                <w:lang w:val="uk-UA"/>
              </w:rPr>
            </w:pPr>
            <w:r w:rsidRPr="00BF3FD9">
              <w:rPr>
                <w:b/>
                <w:bCs/>
                <w:spacing w:val="9"/>
                <w:sz w:val="24"/>
                <w:szCs w:val="24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widowControl w:val="0"/>
              <w:spacing w:after="0" w:line="240" w:lineRule="auto"/>
              <w:contextualSpacing/>
              <w:jc w:val="center"/>
              <w:rPr>
                <w:b/>
                <w:bCs/>
                <w:spacing w:val="9"/>
                <w:sz w:val="24"/>
                <w:szCs w:val="24"/>
                <w:lang w:val="uk-UA"/>
              </w:rPr>
            </w:pPr>
            <w:r w:rsidRPr="00BF3FD9">
              <w:rPr>
                <w:b/>
                <w:bCs/>
                <w:spacing w:val="9"/>
                <w:sz w:val="24"/>
                <w:szCs w:val="24"/>
                <w:lang w:val="uk-UA"/>
              </w:rPr>
              <w:t>6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widowControl w:val="0"/>
              <w:spacing w:after="0" w:line="240" w:lineRule="auto"/>
              <w:contextualSpacing/>
              <w:jc w:val="center"/>
              <w:rPr>
                <w:b/>
                <w:bCs/>
                <w:spacing w:val="9"/>
                <w:sz w:val="24"/>
                <w:szCs w:val="24"/>
                <w:lang w:val="uk-UA"/>
              </w:rPr>
            </w:pPr>
            <w:r w:rsidRPr="00BF3FD9">
              <w:rPr>
                <w:b/>
                <w:bCs/>
                <w:spacing w:val="9"/>
                <w:sz w:val="24"/>
                <w:szCs w:val="24"/>
                <w:lang w:val="uk-UA"/>
              </w:rPr>
              <w:t>7</w:t>
            </w:r>
          </w:p>
        </w:tc>
      </w:tr>
      <w:tr w:rsidR="00BF3FD9" w:rsidRPr="00BF3FD9" w:rsidTr="00BF3FD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Надавати за зверненнями одноразову адресну грошову допомогу на лікування, малозабезпеченим верствам населення району, які опинилися у скрутному становищі внаслідок непередбачених обставин відповідно до затвердженого положення «Про надання допомоги за зверненням громадян, які мешкають на території </w:t>
            </w:r>
            <w:proofErr w:type="spellStart"/>
            <w:r w:rsidRPr="00BF3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Новомиколаївської</w:t>
            </w:r>
            <w:proofErr w:type="spellEnd"/>
            <w:r w:rsidRPr="00BF3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громади».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Протягом 2021 року </w:t>
            </w: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комітет, відділ освіти, культури, молоді та спорту, соціального захисту населення виконавчого комітету </w:t>
            </w:r>
            <w:proofErr w:type="spellStart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Новомиколаївської</w:t>
            </w:r>
            <w:proofErr w:type="spellEnd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сільської ради 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Фінансування за рахунок коштів сільського бюджету</w:t>
            </w: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Загальний фонд</w:t>
            </w: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Спеціальний фонд (кошти цільового фонду) в межах наявного фінансування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FD9" w:rsidRPr="00BF3FD9" w:rsidRDefault="00BF3FD9" w:rsidP="00BF3F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10000,00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Підвищення матеріального рівня життя </w:t>
            </w: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малозабезпечених верств населення району, які опинилися у скрутному становищі внаслідок непередбачених обставин</w:t>
            </w:r>
          </w:p>
        </w:tc>
      </w:tr>
      <w:tr w:rsidR="00BF3FD9" w:rsidRPr="00BF3FD9" w:rsidTr="00BF3FD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ind w:left="4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Забезпечувати виплату щомісячної стипендії особам з інвалідністю внаслідок війни та учасникам бойових дій, яким виповнилося 90 і більше років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Протягом 2021 року </w:t>
            </w: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комітет, відділ освіти, культури, молоді та спорту, соціального захисту населення виконавчого комітету </w:t>
            </w:r>
            <w:proofErr w:type="spellStart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Новомиколаївської</w:t>
            </w:r>
            <w:proofErr w:type="spellEnd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сільської ради 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Фінансування в межах наявних коштів сільського  бюджету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Додаткове матеріальне забезпечення людей похилого віку</w:t>
            </w:r>
          </w:p>
        </w:tc>
      </w:tr>
      <w:tr w:rsidR="00BF3FD9" w:rsidRPr="0094250A" w:rsidTr="00BF3FD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Вшанування бойових і трудових подвигів ветеранів, сімей військовослужбовців та учасників добровольчих формувань, які загинули (померли) та безвісті зникли під час проведення антитерористичної операції на Сході України, </w:t>
            </w:r>
            <w:r w:rsidRPr="00BF3FD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uk-UA" w:eastAsia="ru-RU"/>
              </w:rPr>
              <w:t xml:space="preserve">осіб з інвалідністю вдома, дітей з інвалідністю, громадян,  які </w:t>
            </w:r>
            <w:proofErr w:type="spellStart"/>
            <w:r w:rsidRPr="00BF3FD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uk-UA" w:eastAsia="ru-RU"/>
              </w:rPr>
              <w:t>постраждалии</w:t>
            </w:r>
            <w:proofErr w:type="spellEnd"/>
          </w:p>
          <w:p w:rsidR="00BF3FD9" w:rsidRPr="00BF3FD9" w:rsidRDefault="00BF3FD9" w:rsidP="00BF3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uk-UA" w:eastAsia="ru-RU"/>
              </w:rPr>
              <w:t>внаслідок аварії на ЧАЕС, вшанування ліквідаторів аварії на ЧАЕС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Протягом 2021року </w:t>
            </w: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комітет, відділ освіти, культури, молоді та спорту, соціального захисту населення виконавчого комітету </w:t>
            </w:r>
            <w:proofErr w:type="spellStart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Новомиколаївської</w:t>
            </w:r>
            <w:proofErr w:type="spellEnd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сільської ради 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Фінансування за рахунок коштів сільського бюджету</w:t>
            </w: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20000,00</w:t>
            </w: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Вшанування ветеранів війни та праці, сімей військовослужбовців та учасників добровольчих формувань, які загинули (померли) та безвісті зникли під час проведення антитерористичної операції на Сході України, ос</w:t>
            </w:r>
            <w:r w:rsidRPr="00BF3FD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uk-UA" w:eastAsia="ru-RU"/>
              </w:rPr>
              <w:t>іб з інвалідністю вдома, дітей з інвалідністю.</w:t>
            </w:r>
          </w:p>
        </w:tc>
      </w:tr>
      <w:tr w:rsidR="00BF3FD9" w:rsidRPr="0094250A" w:rsidTr="00BF3FD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hd w:val="clear" w:color="auto" w:fill="FFFFFF"/>
              <w:spacing w:after="0" w:line="240" w:lineRule="auto"/>
              <w:ind w:right="10" w:hanging="1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Надання компенсації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Протягом 2021 року </w:t>
            </w: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комітет, відділ освіти, культури, молоді та спорту, соціального захисту населення виконавчого комітету </w:t>
            </w:r>
            <w:proofErr w:type="spellStart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Новомиколаївської</w:t>
            </w:r>
            <w:proofErr w:type="spellEnd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сільської ради 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Фінансування за рахунок коштів сільського бюджету</w:t>
            </w: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FD9" w:rsidRPr="00BF3FD9" w:rsidRDefault="00511813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107700</w:t>
            </w:r>
            <w:r w:rsidR="00BF3FD9"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соціальних послуг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      </w:r>
          </w:p>
        </w:tc>
      </w:tr>
      <w:tr w:rsidR="00BF3FD9" w:rsidRPr="00BF3FD9" w:rsidTr="00BF3FD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F27A31">
            <w:pPr>
              <w:shd w:val="clear" w:color="auto" w:fill="FFFFFF"/>
              <w:spacing w:after="0" w:line="240" w:lineRule="auto"/>
              <w:ind w:right="10" w:hanging="1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Забезпечення мешканців </w:t>
            </w:r>
            <w:proofErr w:type="spellStart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Новомиколаївської</w:t>
            </w:r>
            <w:proofErr w:type="spellEnd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сільської громади  пільговим </w:t>
            </w:r>
            <w:proofErr w:type="spellStart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проїздом</w:t>
            </w:r>
            <w:r w:rsidR="00F27A31" w:rsidRPr="00F27A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</w:t>
            </w:r>
            <w:proofErr w:type="spellEnd"/>
            <w:r w:rsidR="00F27A31" w:rsidRPr="00F27A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мешканців </w:t>
            </w:r>
            <w:proofErr w:type="spellStart"/>
            <w:r w:rsidR="00F27A31" w:rsidRPr="00F27A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Новомиколаївської</w:t>
            </w:r>
            <w:proofErr w:type="spellEnd"/>
            <w:r w:rsidR="00F27A31" w:rsidRPr="00F27A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сільської громади пільговим проїздом: осіб з інвалідністю внаслідок війни, учасників бойових дій, учасників війни, громадян, які постраждали внаслідок Чорнобильської катастрофи, осіб з інвалідністю, дітей з інвалідністю, осіб, які супроводжують особу з інвалідністю 1 групи та дитину з інвалідністю (не більше одного супроводжуючого), дітей з багатодітних сімей, членів сімей військовослужбовців, які загинули, померли або пропали безвісті під час проходження військової служби автомобільним транспортом міжміського сполучення в межах Херсонської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Протягом 2021 року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комітет, відділ освіти, культури, молоді та спорту, соціального захисту населення виконавчого комітету </w:t>
            </w:r>
            <w:proofErr w:type="spellStart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Новомиколаївської</w:t>
            </w:r>
            <w:proofErr w:type="spellEnd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сільської ради 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Фінансування за рахунок коштів сільського бюджету</w:t>
            </w: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7500,0</w:t>
            </w: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  пільгового проїзду громадян автомобільним транспортом міжміського сполучення відповідно до законодавчих актів України</w:t>
            </w:r>
          </w:p>
        </w:tc>
      </w:tr>
      <w:tr w:rsidR="00BF3FD9" w:rsidRPr="0094250A" w:rsidTr="00BF3FD9">
        <w:trPr>
          <w:trHeight w:val="30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hd w:val="clear" w:color="auto" w:fill="FFFFFF"/>
              <w:spacing w:after="0" w:line="240" w:lineRule="auto"/>
              <w:ind w:left="-10" w:right="1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Забезпечення проведення розрахунків з підприємствами та організаціями, що надають пільги на послуги зв’язку ветеранам війни, ветеранам служби цивільного захисту, ветеранам військової служби, ветеранам органів внутрішніх справ, особам з інвалідністю армії, особам, постраждалим внаслідок Чорнобильської катастрофи (І-ІІ категорії), багатодітним сім’ям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Протягом 2021 року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комітет, відділ освіти, культури, молоді та спорту, соціального захисту населення виконавчого комітету </w:t>
            </w:r>
            <w:proofErr w:type="spellStart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Новомиколаївської</w:t>
            </w:r>
            <w:proofErr w:type="spellEnd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сільської ради 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Фінансування за рахунок коштів сільського бюджету</w:t>
            </w: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lang w:val="uk-UA" w:eastAsia="ru-RU"/>
              </w:rPr>
              <w:t>8000,00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розрахунків з ПАТ «Укртелеком» що надає пільги з послуг зв’язку окремим категоріям громадян</w:t>
            </w:r>
          </w:p>
        </w:tc>
      </w:tr>
      <w:tr w:rsidR="00BF3FD9" w:rsidRPr="00BF3FD9" w:rsidTr="00BF3FD9">
        <w:trPr>
          <w:trHeight w:val="98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Придбання подарунків до новорічних та різдвяних свят для вручення їх дітям пільгових категорій, дітям із сімей учасників антитерористичної операції та внутрішньо переміщених осіб, ліквідаторів аварії на Чорнобильській АЕС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Протягом 2021 року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Виконавчий комітет, відділ освіти, культури, молоді та спорту, соціального захисту населення виконавчого комітету </w:t>
            </w:r>
            <w:proofErr w:type="spellStart"/>
            <w:r w:rsidRPr="00BF3F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Новомиколаївської</w:t>
            </w:r>
            <w:proofErr w:type="spellEnd"/>
            <w:r w:rsidRPr="00BF3F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сільської ради   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Фінансування в межах наявних коштів сільського  бюджету </w:t>
            </w: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30000,00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Привітання дітей окремих пільгових  категорій</w:t>
            </w: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F3FD9" w:rsidRPr="00BF3FD9" w:rsidTr="00BF3FD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Надавати разову матеріальну допомогу сім’ям учасників бойових дій, військовослужбовців та учасників добровольчих формувань,  які  приймали  участь в антитерористичній операції на Сході України та загинули (померли, безвісті зникли) під час проведення антитерористичної  операції  або при виконанні обов´язків військової служби.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Протягом 2021 року </w:t>
            </w: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комітет, відділ освіти, культури, молоді та спорту, соціального захисту населення виконавчого комітету </w:t>
            </w:r>
            <w:proofErr w:type="spellStart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Новомиколаївської</w:t>
            </w:r>
            <w:proofErr w:type="spellEnd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сільської ради 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Фінансування в межах наявних коштів сільського  бюджету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FD9" w:rsidRPr="00BF3FD9" w:rsidRDefault="00BF3FD9" w:rsidP="00BF3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допомоги</w:t>
            </w: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F3FD9" w:rsidRPr="0094250A" w:rsidTr="00BF3FD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Підтримка сімей з дітьми з інвалідністю (Надання трансферту з сільського бюджету </w:t>
            </w:r>
            <w:proofErr w:type="spellStart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Скадовській</w:t>
            </w:r>
            <w:proofErr w:type="spellEnd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міській раді за дітей громади , які відвідують КУ </w:t>
            </w:r>
            <w:proofErr w:type="spellStart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Скадовський</w:t>
            </w:r>
            <w:proofErr w:type="spellEnd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МЦ КРДІ «Надія»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Протягом 2021 року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комітет, відділ освіти, культури, молоді та спорту, соціального захисту населення виконавчого комітету </w:t>
            </w:r>
            <w:proofErr w:type="spellStart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Новомиколаївської</w:t>
            </w:r>
            <w:proofErr w:type="spellEnd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сільської ради 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Фінансування за рахунок коштів сільського бюджету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56000,00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Підтримка сімей з дітьми з інвалідністю</w:t>
            </w:r>
          </w:p>
        </w:tc>
      </w:tr>
      <w:tr w:rsidR="00BF3FD9" w:rsidRPr="0094250A" w:rsidTr="00BF3FD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одноразової допомоги дітям-сиротам та дітям, позбавленим батьківського піклування , після досягнення 18- річного віку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Протягом 2021 року 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комітет, відділ освіти, культури, молоді та спорту, соціального захисту населення виконавчого комітету </w:t>
            </w:r>
            <w:proofErr w:type="spellStart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Новомиколаївської</w:t>
            </w:r>
            <w:proofErr w:type="spellEnd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сільської ради 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FD9" w:rsidRPr="00BF3FD9" w:rsidRDefault="00BF3FD9" w:rsidP="00BF3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Фінансування за рахунок коштів сільського бюджету</w:t>
            </w: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7240,00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одноразової допомоги дітям-сиротам та дітям, позбавленим батьківського піклування , після досягнення 18- річного віку</w:t>
            </w:r>
          </w:p>
        </w:tc>
      </w:tr>
      <w:tr w:rsidR="00BF3FD9" w:rsidRPr="0094250A" w:rsidTr="00BF3FD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Пільгове медичне обслуговування осіб, які постраждали внаслідок Чорнобильської катастрофи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Протягом 2021 року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комітет, відділ освіти, культури, молоді та спорту, соціального захисту населення виконавчого комітету </w:t>
            </w:r>
            <w:proofErr w:type="spellStart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Новомиколаївської</w:t>
            </w:r>
            <w:proofErr w:type="spellEnd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сільської ради 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субвенції з місцевого бюджету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4145,00</w:t>
            </w: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Пільгове медичне обслуговування осіб, які постраждали внаслідок Чорнобильської катастрофи</w:t>
            </w:r>
          </w:p>
        </w:tc>
      </w:tr>
      <w:tr w:rsidR="00BF3FD9" w:rsidRPr="00BF3FD9" w:rsidTr="00BF3FD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Допомога на поховання учасників бойових дій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Протягом 2021 року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комітет, відділ освіти, культури, молоді та спорту, соціального захисту населення виконавчого комітету </w:t>
            </w:r>
            <w:proofErr w:type="spellStart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Новомиколаївської</w:t>
            </w:r>
            <w:proofErr w:type="spellEnd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сільської ради 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субвенції з місцевого бюджету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6600,00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Допомога на поховання учасників бойових дій</w:t>
            </w:r>
          </w:p>
        </w:tc>
      </w:tr>
      <w:tr w:rsidR="00BF3FD9" w:rsidRPr="00BF3FD9" w:rsidTr="00BF3FD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Централізовані заходи з лікування хворих на цукровий та нецукровий діабет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Протягом 2021 року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комітет, відділ освіти, культури, молоді та спорту, соціального захисту населення виконавчого комітету </w:t>
            </w:r>
            <w:proofErr w:type="spellStart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Новомиколаївської</w:t>
            </w:r>
            <w:proofErr w:type="spellEnd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сільської ради 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Субвенція з місцевого бюджету на здійснення підтримки окремих закладів та заходів у системі охорони здоров`я за рахунок відповідної субвенції з державного бюджету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511813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174091</w:t>
            </w:r>
            <w:r w:rsidR="00BF3FD9"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proofErr w:type="spellStart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</w:t>
            </w:r>
            <w:proofErr w:type="spellEnd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лікування хворих на цукровий та нецукровий діабет</w:t>
            </w:r>
          </w:p>
        </w:tc>
      </w:tr>
      <w:tr w:rsidR="00BF3FD9" w:rsidRPr="00BF3FD9" w:rsidTr="00BF3FD9">
        <w:trPr>
          <w:trHeight w:val="1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Захоронення безрідних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Протягом 2021 року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Виконавчий комітет, відділ освіти, культури, молоді та спорту, соціального захисту населення виконавчого комітету </w:t>
            </w:r>
            <w:proofErr w:type="spellStart"/>
            <w:r w:rsidRPr="00BF3F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Новомиколаївської</w:t>
            </w:r>
            <w:proofErr w:type="spellEnd"/>
            <w:r w:rsidRPr="00BF3F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сільської ради 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Фінансування за рахунок коштів сільського бюджету</w:t>
            </w: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10000,00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Захоронення безрідних</w:t>
            </w:r>
          </w:p>
        </w:tc>
      </w:tr>
      <w:tr w:rsidR="00BF3FD9" w:rsidRPr="00BF3FD9" w:rsidTr="00BF3FD9">
        <w:trPr>
          <w:trHeight w:val="1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Проводити інформаційні кампанії, акції та інші заходи щодо попередження та протидії домашньому насильству, насильству за ознакою статі, торгівлі людьми, у тому числі з нагоди відзначення Всесвітнього для протидії торгівлі людьми, Європейського для боротьби з торгівлею людьми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Протягом 2021 року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Виконавчий комітет, відділ освіти, культури, молоді та спорту, соціального захисту населення виконавчого комітету </w:t>
            </w:r>
            <w:proofErr w:type="spellStart"/>
            <w:r w:rsidRPr="00BF3F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Новомиколаївської</w:t>
            </w:r>
            <w:proofErr w:type="spellEnd"/>
            <w:r w:rsidRPr="00BF3F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сільської ради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Фінансування в межах наявних коштів сільського  бюджету </w:t>
            </w: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Підвищення рівня обізнаності населення з питань попередження та протидії торгівлі людьми, домашньому насильству та насильству за ознакою статі</w:t>
            </w:r>
          </w:p>
        </w:tc>
      </w:tr>
      <w:tr w:rsidR="00BF3FD9" w:rsidRPr="00BF3FD9" w:rsidTr="00BF3FD9">
        <w:trPr>
          <w:trHeight w:val="1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Проводити заходи на підтримку Всеукраїнської акції «16 днів проти насильства»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Протягом 2021 року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комітет, відділ освіти, культури, молоді та спорту, соціального захисту населення виконавчого комітету </w:t>
            </w:r>
            <w:proofErr w:type="spellStart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Новомиколаївської</w:t>
            </w:r>
            <w:proofErr w:type="spellEnd"/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сільської ради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Фінансування </w:t>
            </w:r>
          </w:p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Підвищення рівня обізнаності населення з питань попередження та протидії домашньому насильству та насильству за ознакою статі</w:t>
            </w:r>
          </w:p>
        </w:tc>
      </w:tr>
      <w:tr w:rsidR="00BF3FD9" w:rsidRPr="00BF3FD9" w:rsidTr="00BF3FD9">
        <w:trPr>
          <w:trHeight w:val="1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BF3FD9" w:rsidP="00BF3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BF3FD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Разом: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FD9" w:rsidRPr="00BF3FD9" w:rsidRDefault="00511813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440576</w:t>
            </w:r>
            <w:r w:rsidR="00BF3FD9" w:rsidRPr="00BF3F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FD9" w:rsidRPr="00BF3FD9" w:rsidRDefault="00BF3FD9" w:rsidP="00BF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</w:p>
        </w:tc>
      </w:tr>
    </w:tbl>
    <w:p w:rsidR="00BF3FD9" w:rsidRPr="00BF3FD9" w:rsidRDefault="00BF3FD9" w:rsidP="00BF3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сільського голови з </w:t>
      </w:r>
    </w:p>
    <w:p w:rsidR="00BF3FD9" w:rsidRPr="00BF3FD9" w:rsidRDefault="00BF3FD9" w:rsidP="00BF3F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питань діяльності виконавчих</w:t>
      </w:r>
    </w:p>
    <w:p w:rsidR="00BF3FD9" w:rsidRPr="00BF3FD9" w:rsidRDefault="00BF3FD9" w:rsidP="00BF3F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органів сільської ради</w:t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О. БУТЕНКО</w:t>
      </w:r>
      <w:bookmarkStart w:id="2" w:name="_GoBack"/>
      <w:bookmarkEnd w:id="2"/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sectPr w:rsidR="00BF3FD9" w:rsidRPr="00BF3FD9">
          <w:pgSz w:w="16838" w:h="11906" w:orient="landscape"/>
          <w:pgMar w:top="1418" w:right="1134" w:bottom="567" w:left="1134" w:header="709" w:footer="709" w:gutter="0"/>
          <w:cols w:space="720"/>
        </w:sectPr>
      </w:pPr>
    </w:p>
    <w:p w:rsidR="007F6686" w:rsidRDefault="0094250A"/>
    <w:sectPr w:rsidR="007F6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4C7F1F"/>
    <w:multiLevelType w:val="hybridMultilevel"/>
    <w:tmpl w:val="1DBCFBF0"/>
    <w:lvl w:ilvl="0" w:tplc="11CC2F8A">
      <w:start w:val="201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44"/>
        </w:tabs>
        <w:ind w:left="184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64"/>
        </w:tabs>
        <w:ind w:left="2564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</w:lvl>
    <w:lvl w:ilvl="4" w:tplc="04190003">
      <w:start w:val="1"/>
      <w:numFmt w:val="decimal"/>
      <w:lvlText w:val="%5."/>
      <w:lvlJc w:val="left"/>
      <w:pPr>
        <w:tabs>
          <w:tab w:val="num" w:pos="4004"/>
        </w:tabs>
        <w:ind w:left="400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724"/>
        </w:tabs>
        <w:ind w:left="4724" w:hanging="360"/>
      </w:pPr>
    </w:lvl>
    <w:lvl w:ilvl="6" w:tplc="04190001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64"/>
        </w:tabs>
        <w:ind w:left="616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84"/>
        </w:tabs>
        <w:ind w:left="6884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FD9"/>
    <w:rsid w:val="003D4CBC"/>
    <w:rsid w:val="00511813"/>
    <w:rsid w:val="00670346"/>
    <w:rsid w:val="008A20E3"/>
    <w:rsid w:val="0094250A"/>
    <w:rsid w:val="00BF3FD9"/>
    <w:rsid w:val="00F2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4CDC4C3-A594-4AC9-A8CA-4CB470988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17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3228</Words>
  <Characters>18401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LENOVO</cp:lastModifiedBy>
  <cp:revision>2</cp:revision>
  <dcterms:created xsi:type="dcterms:W3CDTF">2021-08-28T10:47:00Z</dcterms:created>
  <dcterms:modified xsi:type="dcterms:W3CDTF">2021-08-28T10:47:00Z</dcterms:modified>
</cp:coreProperties>
</file>