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8047A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2DF08C58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0044E583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6E258863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E461E3">
        <w:rPr>
          <w:rFonts w:ascii="Times New Roman" w:hAnsi="Times New Roman"/>
          <w:b/>
          <w:lang w:val="uk-UA"/>
        </w:rPr>
        <w:t>Косухіній Л.Г.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30EE27D7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3B7B3E4B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02119F43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CC5825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91782E9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061FF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05A9FE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57258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24784F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5A998939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0258EC9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E36653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DD94590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34E6B26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2714F5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FFEBCB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821A244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322F0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42881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A6BB9D1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51C44A23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5CF7E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A04FC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0B0201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D5AF93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617D679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B8BC6FB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C5D820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A51D6F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CCC3700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CBD6D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9FDD0B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3C07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EF09EC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087D6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0C0BAD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5E26160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166C8A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2B82DC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347F882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B154AB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AE1721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B9E0731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8BE804F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F4D27C5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DFB9EEF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90D260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878569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6886A8B5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110313A7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3E15B6B9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0F9A8470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20FB4DE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35D783B8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27E50B2D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119BAD7C" wp14:editId="1C5B263F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A9551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7A6F0157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F935A4C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2FBDA78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2F904A9" w14:textId="77777777" w:rsidR="00372C90" w:rsidRDefault="00372C90" w:rsidP="00E828D1">
      <w:pPr>
        <w:ind w:left="720" w:hanging="240"/>
        <w:jc w:val="center"/>
      </w:pPr>
    </w:p>
    <w:p w14:paraId="1634A3C9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7C7C0811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D4E8144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07C1E8BF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E461E3">
        <w:rPr>
          <w:rFonts w:ascii="Times New Roman" w:hAnsi="Times New Roman"/>
          <w:b/>
          <w:sz w:val="27"/>
          <w:szCs w:val="27"/>
          <w:lang w:val="uk-UA"/>
        </w:rPr>
        <w:t>Косухіній Л.Г.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350A8F1A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1209642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315C90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22B8BA16" w14:textId="466EE5B1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61E3">
        <w:rPr>
          <w:rFonts w:ascii="Times New Roman" w:hAnsi="Times New Roman"/>
          <w:sz w:val="27"/>
          <w:szCs w:val="27"/>
          <w:lang w:val="uk-UA"/>
        </w:rPr>
        <w:t>Косухіної Любові Григорівни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FB06D0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23C79331" w14:textId="276E889A" w:rsidR="00372C90" w:rsidRPr="0030077A" w:rsidRDefault="000A14E0" w:rsidP="00FB06D0">
      <w:pPr>
        <w:jc w:val="center"/>
        <w:rPr>
          <w:sz w:val="27"/>
          <w:szCs w:val="27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3A66974B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0CC6DF95" w14:textId="4F4CEE9A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E461E3">
        <w:rPr>
          <w:rFonts w:ascii="Times New Roman" w:hAnsi="Times New Roman"/>
          <w:sz w:val="27"/>
          <w:szCs w:val="27"/>
          <w:lang w:val="uk-UA" w:eastAsia="zh-CN"/>
        </w:rPr>
        <w:t>Косухіній Любові Григорівні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447C079C" w14:textId="3B6936F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E461E3">
        <w:rPr>
          <w:rFonts w:ascii="Times New Roman" w:hAnsi="Times New Roman"/>
          <w:sz w:val="27"/>
          <w:szCs w:val="27"/>
          <w:lang w:val="uk-UA"/>
        </w:rPr>
        <w:t>Косухіній Л.Г.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FB06D0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53CB327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668F1781" w14:textId="77777777" w:rsid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195DDD5" w14:textId="77777777" w:rsid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2B70085" w14:textId="76A685B6" w:rsidR="00372C90" w:rsidRPr="00FB06D0" w:rsidRDefault="00FB06D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bookmarkStart w:id="3" w:name="_GoBack"/>
      <w:bookmarkEnd w:id="3"/>
    </w:p>
    <w:sectPr w:rsidR="00372C90" w:rsidRPr="00FB06D0" w:rsidSect="00FB06D0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EB3F0" w14:textId="77777777" w:rsidR="00F066C9" w:rsidRDefault="00F066C9" w:rsidP="0069747B">
      <w:pPr>
        <w:spacing w:line="240" w:lineRule="auto"/>
      </w:pPr>
      <w:r>
        <w:separator/>
      </w:r>
    </w:p>
  </w:endnote>
  <w:endnote w:type="continuationSeparator" w:id="0">
    <w:p w14:paraId="5022E64F" w14:textId="77777777" w:rsidR="00F066C9" w:rsidRDefault="00F066C9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370B5" w14:textId="77777777" w:rsidR="00F066C9" w:rsidRDefault="00F066C9" w:rsidP="0069747B">
      <w:pPr>
        <w:spacing w:line="240" w:lineRule="auto"/>
      </w:pPr>
      <w:r>
        <w:separator/>
      </w:r>
    </w:p>
  </w:footnote>
  <w:footnote w:type="continuationSeparator" w:id="0">
    <w:p w14:paraId="6F50E406" w14:textId="77777777" w:rsidR="00F066C9" w:rsidRDefault="00F066C9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F066C9"/>
    <w:rsid w:val="00FB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BACD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17</cp:revision>
  <cp:lastPrinted>2021-05-13T12:37:00Z</cp:lastPrinted>
  <dcterms:created xsi:type="dcterms:W3CDTF">2021-04-12T13:30:00Z</dcterms:created>
  <dcterms:modified xsi:type="dcterms:W3CDTF">2021-06-22T08:15:00Z</dcterms:modified>
</cp:coreProperties>
</file>