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45FD4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742D2DD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04448B8B" w14:textId="2452105C" w:rsidR="00B466FA" w:rsidRDefault="00F102DB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4492B2C6" wp14:editId="50B3FF32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9FF7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BADD1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3BF7E4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45D922F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BE0E15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4A2F22F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D5CD6FE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DB0746A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56ECB71" w14:textId="61B33EE9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</w:t>
      </w:r>
      <w:r w:rsidR="00FF0400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 у власність гр.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Start w:id="0" w:name="_Hlk80281089"/>
      <w:r w:rsidR="00EF5E71">
        <w:rPr>
          <w:rFonts w:ascii="Times New Roman" w:hAnsi="Times New Roman" w:cs="В"/>
          <w:b/>
          <w:color w:val="00000A"/>
          <w:lang w:val="uk-UA" w:eastAsia="zh-CN"/>
        </w:rPr>
        <w:t>Лисенку Миколі Івановичу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End w:id="0"/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розташованої 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по вул. </w:t>
      </w:r>
      <w:r w:rsidR="00EF5E71">
        <w:rPr>
          <w:rFonts w:ascii="Times New Roman" w:hAnsi="Times New Roman" w:cs="В"/>
          <w:b/>
          <w:color w:val="00000A"/>
          <w:lang w:val="uk-UA" w:eastAsia="zh-CN"/>
        </w:rPr>
        <w:t>Перемоги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в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proofErr w:type="spellStart"/>
      <w:r w:rsidR="00EF5E71">
        <w:rPr>
          <w:rFonts w:ascii="Times New Roman" w:hAnsi="Times New Roman" w:cs="В"/>
          <w:b/>
          <w:color w:val="00000A"/>
          <w:lang w:val="uk-UA" w:eastAsia="zh-CN"/>
        </w:rPr>
        <w:t>Бражківка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Ізюмського району Харківської області»  </w:t>
      </w:r>
    </w:p>
    <w:p w14:paraId="767F8C15" w14:textId="77777777" w:rsidR="00B466FA" w:rsidRPr="007A0652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162E0043" w14:textId="51463CDC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>Лисенка Миколи Івановича</w:t>
      </w:r>
      <w:r w:rsidR="00EF5E71" w:rsidRPr="00EF5E71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«Проекту землеустрою </w:t>
      </w:r>
      <w:bookmarkStart w:id="1" w:name="_Hlk80281283"/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щодо відведення земельної ділянки у власність гр. </w:t>
      </w:r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>Лисенку Миколі Івановичу</w:t>
      </w:r>
      <w:r w:rsidR="00EF5E71" w:rsidRPr="00EF5E71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для ведення особистого селянського господарства, розташованої по вул. </w:t>
      </w:r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 xml:space="preserve">Перемоги в с. </w:t>
      </w:r>
      <w:proofErr w:type="spellStart"/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>Бражківка</w:t>
      </w:r>
      <w:proofErr w:type="spellEnd"/>
      <w:r w:rsidR="00EF5E71" w:rsidRPr="00EF5E71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>Ізюмськ</w:t>
      </w:r>
      <w:r w:rsidR="00704A21">
        <w:rPr>
          <w:rFonts w:ascii="Times New Roman" w:hAnsi="Times New Roman" w:cs="В"/>
          <w:color w:val="00000A"/>
          <w:lang w:val="uk-UA" w:eastAsia="zh-CN"/>
        </w:rPr>
        <w:t xml:space="preserve">ого району Харківської області», </w:t>
      </w:r>
      <w:bookmarkEnd w:id="1"/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704A21">
        <w:rPr>
          <w:rFonts w:ascii="Times New Roman" w:hAnsi="Times New Roman"/>
          <w:color w:val="00000A"/>
          <w:lang w:val="uk-UA" w:eastAsia="zh-CN"/>
        </w:rPr>
        <w:t>ий номер 632288</w:t>
      </w:r>
      <w:r w:rsidR="00EF5E71">
        <w:rPr>
          <w:rFonts w:ascii="Times New Roman" w:hAnsi="Times New Roman"/>
          <w:color w:val="00000A"/>
          <w:lang w:val="uk-UA" w:eastAsia="zh-CN"/>
        </w:rPr>
        <w:t>0801</w:t>
      </w:r>
      <w:r w:rsidR="00704A21">
        <w:rPr>
          <w:rFonts w:ascii="Times New Roman" w:hAnsi="Times New Roman"/>
          <w:color w:val="00000A"/>
          <w:lang w:val="uk-UA" w:eastAsia="zh-CN"/>
        </w:rPr>
        <w:t>:01:001:0</w:t>
      </w:r>
      <w:r w:rsidR="00EF5E71">
        <w:rPr>
          <w:rFonts w:ascii="Times New Roman" w:hAnsi="Times New Roman"/>
          <w:color w:val="00000A"/>
          <w:lang w:val="uk-UA" w:eastAsia="zh-CN"/>
        </w:rPr>
        <w:t>043</w:t>
      </w:r>
      <w:r w:rsidR="00704A21">
        <w:rPr>
          <w:rFonts w:ascii="Times New Roman" w:hAnsi="Times New Roman"/>
          <w:color w:val="00000A"/>
          <w:lang w:val="uk-UA" w:eastAsia="zh-CN"/>
        </w:rPr>
        <w:t>, площею 0,6</w:t>
      </w:r>
      <w:r w:rsidR="00EF5E71">
        <w:rPr>
          <w:rFonts w:ascii="Times New Roman" w:hAnsi="Times New Roman"/>
          <w:color w:val="00000A"/>
          <w:lang w:val="uk-UA" w:eastAsia="zh-CN"/>
        </w:rPr>
        <w:t>876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га, в т. ч. 0,6</w:t>
      </w:r>
      <w:r w:rsidR="00EF5E71">
        <w:rPr>
          <w:rFonts w:ascii="Times New Roman" w:hAnsi="Times New Roman"/>
          <w:color w:val="00000A"/>
          <w:lang w:val="uk-UA" w:eastAsia="zh-CN"/>
        </w:rPr>
        <w:t>876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186 Земельного </w:t>
      </w:r>
      <w:r w:rsidR="00BF35D4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</w:t>
      </w:r>
      <w:r w:rsidR="00F23018" w:rsidRPr="00F23018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DB74FDA" w14:textId="77777777" w:rsidR="00BF35D4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</w:p>
    <w:p w14:paraId="7DCCBCEA" w14:textId="62673DB6" w:rsidR="00B466FA" w:rsidRDefault="00B466FA" w:rsidP="00BF35D4">
      <w:pPr>
        <w:suppressAutoHyphens/>
        <w:spacing w:after="0" w:line="100" w:lineRule="atLeast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32784E27" w14:textId="127C0033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704A21">
        <w:rPr>
          <w:rFonts w:ascii="Times New Roman" w:hAnsi="Times New Roman" w:cs="В"/>
          <w:color w:val="00000A"/>
          <w:lang w:val="uk-UA" w:eastAsia="zh-CN"/>
        </w:rPr>
        <w:t>«Проект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землеустрою </w:t>
      </w:r>
      <w:r w:rsidR="00EF5E71" w:rsidRPr="00EF5E71">
        <w:rPr>
          <w:rFonts w:ascii="Times New Roman" w:hAnsi="Times New Roman" w:cs="В"/>
          <w:color w:val="00000A"/>
          <w:lang w:val="uk-UA" w:eastAsia="zh-CN"/>
        </w:rPr>
        <w:t xml:space="preserve">щодо відведення земельної ділянки у власність гр. </w:t>
      </w:r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>Лисенку Миколі Івановичу</w:t>
      </w:r>
      <w:r w:rsidR="00EF5E71" w:rsidRPr="00EF5E71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F5E71" w:rsidRPr="00EF5E71">
        <w:rPr>
          <w:rFonts w:ascii="Times New Roman" w:hAnsi="Times New Roman" w:cs="В"/>
          <w:color w:val="00000A"/>
          <w:lang w:val="uk-UA" w:eastAsia="zh-CN"/>
        </w:rPr>
        <w:t xml:space="preserve">для ведення особистого селянського господарства, розташованої по вул. </w:t>
      </w:r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 xml:space="preserve">Перемоги в с. </w:t>
      </w:r>
      <w:proofErr w:type="spellStart"/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>Бражківка</w:t>
      </w:r>
      <w:proofErr w:type="spellEnd"/>
      <w:r w:rsidR="00EF5E71" w:rsidRPr="00EF5E71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F5E71" w:rsidRPr="00EF5E71">
        <w:rPr>
          <w:rFonts w:ascii="Times New Roman" w:hAnsi="Times New Roman" w:cs="В"/>
          <w:color w:val="00000A"/>
          <w:lang w:val="uk-UA" w:eastAsia="zh-CN"/>
        </w:rPr>
        <w:t>Ізюмського району Харківської області»</w:t>
      </w:r>
      <w:r w:rsidR="00EF5E71">
        <w:rPr>
          <w:rFonts w:ascii="Times New Roman" w:hAnsi="Times New Roman" w:cs="В"/>
          <w:color w:val="00000A"/>
          <w:lang w:val="uk-UA" w:eastAsia="zh-CN"/>
        </w:rPr>
        <w:t>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 </w:t>
      </w:r>
    </w:p>
    <w:p w14:paraId="4C5AEC6F" w14:textId="4DA3439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F5E71" w:rsidRPr="00EF5E71">
        <w:rPr>
          <w:rFonts w:ascii="Times New Roman" w:hAnsi="Times New Roman" w:cs="В"/>
          <w:bCs/>
          <w:color w:val="00000A"/>
          <w:lang w:val="uk-UA" w:eastAsia="zh-CN"/>
        </w:rPr>
        <w:t>Лисенку Миколі Івановичу</w:t>
      </w:r>
      <w:r w:rsidR="00EF5E71" w:rsidRPr="00EF5E71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>омер платника податку</w:t>
      </w:r>
      <w:r w:rsidR="00FF0400">
        <w:rPr>
          <w:rFonts w:ascii="Times New Roman" w:hAnsi="Times New Roman" w:cs="В"/>
          <w:color w:val="00000A"/>
          <w:lang w:val="uk-UA" w:eastAsia="zh-CN"/>
        </w:rPr>
        <w:t xml:space="preserve"> 2667600652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>ашована за адресою: вул.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</w:t>
      </w:r>
      <w:r w:rsidR="00FF0400">
        <w:rPr>
          <w:rFonts w:ascii="Times New Roman" w:hAnsi="Times New Roman"/>
          <w:color w:val="00000A"/>
          <w:lang w:val="uk-UA" w:eastAsia="zh-CN"/>
        </w:rPr>
        <w:t>Перемоги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с. </w:t>
      </w:r>
      <w:proofErr w:type="spellStart"/>
      <w:r w:rsidR="00FF0400">
        <w:rPr>
          <w:rFonts w:ascii="Times New Roman" w:hAnsi="Times New Roman"/>
          <w:color w:val="00000A"/>
          <w:lang w:val="uk-UA" w:eastAsia="zh-CN"/>
        </w:rPr>
        <w:t>Бражківка</w:t>
      </w:r>
      <w:proofErr w:type="spellEnd"/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1D2AE7" w:rsidRPr="001D2AE7">
        <w:rPr>
          <w:rFonts w:ascii="Times New Roman" w:hAnsi="Times New Roman"/>
          <w:color w:val="00000A"/>
          <w:lang w:val="uk-UA" w:eastAsia="zh-CN"/>
        </w:rPr>
        <w:t>6322880801:01:001:0043</w:t>
      </w:r>
      <w:r w:rsidR="00704A21">
        <w:rPr>
          <w:rFonts w:ascii="Times New Roman" w:hAnsi="Times New Roman"/>
          <w:color w:val="00000A"/>
          <w:lang w:val="uk-UA" w:eastAsia="zh-CN"/>
        </w:rPr>
        <w:t>, площею 0,68</w:t>
      </w:r>
      <w:r w:rsidR="001D2AE7">
        <w:rPr>
          <w:rFonts w:ascii="Times New Roman" w:hAnsi="Times New Roman"/>
          <w:color w:val="00000A"/>
          <w:lang w:val="uk-UA" w:eastAsia="zh-CN"/>
        </w:rPr>
        <w:t>76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га, в т. ч. 0,68</w:t>
      </w:r>
      <w:r w:rsidR="001D2AE7">
        <w:rPr>
          <w:rFonts w:ascii="Times New Roman" w:hAnsi="Times New Roman"/>
          <w:color w:val="00000A"/>
          <w:lang w:val="uk-UA" w:eastAsia="zh-CN"/>
        </w:rPr>
        <w:t>76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572D35FD" w14:textId="0B63DABC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FF0400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1D2AE7">
        <w:rPr>
          <w:rFonts w:ascii="Times New Roman" w:hAnsi="Times New Roman" w:cs="В"/>
          <w:color w:val="00000A"/>
          <w:lang w:val="uk-UA" w:eastAsia="zh-CN"/>
        </w:rPr>
        <w:t>Лисенка М.І</w:t>
      </w:r>
      <w:r w:rsidR="00323A57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C7D18AD" w14:textId="2CFF904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 w:rsidR="001D2AE7">
        <w:rPr>
          <w:rFonts w:ascii="Times New Roman" w:hAnsi="Times New Roman"/>
          <w:color w:val="00000A"/>
          <w:lang w:val="uk-UA" w:eastAsia="zh-CN"/>
        </w:rPr>
        <w:t xml:space="preserve">Старості </w:t>
      </w:r>
      <w:proofErr w:type="spellStart"/>
      <w:r w:rsidR="001D2AE7">
        <w:rPr>
          <w:rFonts w:ascii="Times New Roman" w:hAnsi="Times New Roman"/>
          <w:color w:val="00000A"/>
          <w:lang w:val="uk-UA" w:eastAsia="zh-CN"/>
        </w:rPr>
        <w:t>Бражківського</w:t>
      </w:r>
      <w:proofErr w:type="spellEnd"/>
      <w:r w:rsidR="001D2AE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1D2AE7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1D2AE7">
        <w:rPr>
          <w:rFonts w:ascii="Times New Roman" w:hAnsi="Times New Roman"/>
          <w:color w:val="00000A"/>
          <w:lang w:val="uk-UA" w:eastAsia="zh-CN"/>
        </w:rPr>
        <w:t xml:space="preserve"> округу</w:t>
      </w:r>
      <w:r>
        <w:rPr>
          <w:rFonts w:ascii="Times New Roman" w:hAnsi="Times New Roman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</w:t>
      </w:r>
      <w:r w:rsidR="001D2AE7">
        <w:rPr>
          <w:rFonts w:ascii="Times New Roman" w:hAnsi="Times New Roman"/>
          <w:lang w:val="uk-UA" w:eastAsia="zh-CN"/>
        </w:rPr>
        <w:t xml:space="preserve"> Шабельнику О.Ю.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1D2AE7" w:rsidRPr="001D2AE7">
        <w:rPr>
          <w:rFonts w:ascii="Times New Roman" w:hAnsi="Times New Roman" w:cs="В"/>
          <w:color w:val="00000A"/>
          <w:lang w:val="uk-UA" w:eastAsia="zh-CN"/>
        </w:rPr>
        <w:t>Бражківськ</w:t>
      </w:r>
      <w:r>
        <w:rPr>
          <w:rFonts w:ascii="Times New Roman" w:hAnsi="Times New Roman" w:cs="В"/>
          <w:color w:val="00000A"/>
          <w:lang w:val="uk-UA" w:eastAsia="zh-CN"/>
        </w:rPr>
        <w:t>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6628A905" w14:textId="1D66FD0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  рішення  покласти  на  постійну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питань земельних відносин, природокористування, планування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BF35D4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О.В.).      </w:t>
      </w:r>
    </w:p>
    <w:p w14:paraId="40E90E8A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3297CA22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78B9D08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47DFA949" w14:textId="01A6430F" w:rsidR="00B466FA" w:rsidRPr="005A1DCF" w:rsidRDefault="00BF35D4" w:rsidP="005A1DCF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A6E3799" w14:textId="77777777"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157DFDF" w14:textId="77777777" w:rsidR="00FA520E" w:rsidRDefault="00FA520E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3342815" w14:textId="77777777" w:rsidR="00323A57" w:rsidRDefault="00323A57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42F27EB4" w14:textId="77777777" w:rsidR="00323A57" w:rsidRDefault="00323A57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BF38765" w14:textId="77777777" w:rsidR="00323A57" w:rsidRDefault="00323A57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789E1CE2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64C6F938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4053C192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66D3ECE" w14:textId="77777777" w:rsidR="00FF0400" w:rsidRDefault="00FF0400" w:rsidP="00FF0400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гр. Лисенку Миколі Івановичу для ведення особистого селянського господарства, розташованої по вул. Перемоги в с.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Бражківка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Ізюмського району Харківської області»  </w:t>
      </w:r>
    </w:p>
    <w:p w14:paraId="72B65AC8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  <w:bookmarkStart w:id="2" w:name="_GoBack"/>
      <w:bookmarkEnd w:id="2"/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43E1762B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59A7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FC307E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813898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90D57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F5B127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63140C74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B7F15E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578274C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D88430F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F8175FC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4980EB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2879C8A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3944CED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32EB12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14F1E68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4E2B36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78DC8FA1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07F171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6A4992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4BA2D68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B57FF2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9E574CE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2BEEEA8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1D68B8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EB4AF6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678288A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56CB59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7F2E49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1F647D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75ECB3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AA661C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0C0211F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C68EE49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AB820F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4D617C5" w14:textId="0005E9FB" w:rsidR="00B466FA" w:rsidRPr="00BC028B" w:rsidRDefault="001D2AE7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Кулик С.І</w:t>
            </w:r>
            <w:r w:rsidR="00B466FA"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45AD18F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B26317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4580B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3A6BBC24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08A4AA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45DA960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837AC21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AD3495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6B0DF1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21D86CC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51C91228" w14:textId="77777777" w:rsidR="00B466FA" w:rsidRDefault="00B466FA"/>
    <w:p w14:paraId="29CA5E67" w14:textId="77777777" w:rsidR="00B466FA" w:rsidRDefault="00B466FA"/>
    <w:p w14:paraId="53944F09" w14:textId="77777777" w:rsidR="00B466FA" w:rsidRDefault="00B466FA"/>
    <w:p w14:paraId="7BA90041" w14:textId="77777777" w:rsidR="00B466FA" w:rsidRDefault="00B466FA"/>
    <w:p w14:paraId="1D7BC4B6" w14:textId="77777777" w:rsidR="00B466FA" w:rsidRDefault="00B466FA"/>
    <w:p w14:paraId="303640C7" w14:textId="77777777" w:rsidR="00B466FA" w:rsidRDefault="00B466FA"/>
    <w:p w14:paraId="2C5FD0C9" w14:textId="77777777" w:rsidR="00B466FA" w:rsidRDefault="00B466FA"/>
    <w:p w14:paraId="72D97539" w14:textId="77777777" w:rsidR="00B466FA" w:rsidRDefault="00B466FA"/>
    <w:p w14:paraId="1B73137B" w14:textId="77777777" w:rsidR="00B466FA" w:rsidRDefault="00B466FA"/>
    <w:p w14:paraId="28BF0E42" w14:textId="77777777" w:rsidR="00B466FA" w:rsidRDefault="00B466FA"/>
    <w:sectPr w:rsidR="00B466FA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1D2AE7"/>
    <w:rsid w:val="0024251E"/>
    <w:rsid w:val="00294673"/>
    <w:rsid w:val="00306D23"/>
    <w:rsid w:val="00323A57"/>
    <w:rsid w:val="00471C7B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A4130B"/>
    <w:rsid w:val="00B00A92"/>
    <w:rsid w:val="00B37C4B"/>
    <w:rsid w:val="00B466FA"/>
    <w:rsid w:val="00B930DC"/>
    <w:rsid w:val="00BC028B"/>
    <w:rsid w:val="00BF35D4"/>
    <w:rsid w:val="00C313D9"/>
    <w:rsid w:val="00CF3551"/>
    <w:rsid w:val="00DD2064"/>
    <w:rsid w:val="00EA15B2"/>
    <w:rsid w:val="00EF5E71"/>
    <w:rsid w:val="00F102DB"/>
    <w:rsid w:val="00F23018"/>
    <w:rsid w:val="00FA3C37"/>
    <w:rsid w:val="00FA520E"/>
    <w:rsid w:val="00FB69C4"/>
    <w:rsid w:val="00FF0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0BF31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2021-08-19T13:17:00Z</cp:lastPrinted>
  <dcterms:created xsi:type="dcterms:W3CDTF">2021-08-19T13:11:00Z</dcterms:created>
  <dcterms:modified xsi:type="dcterms:W3CDTF">2021-09-28T19:15:00Z</dcterms:modified>
</cp:coreProperties>
</file>