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6D93070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202996">
        <w:rPr>
          <w:rFonts w:ascii="В" w:eastAsia="Times New Roman" w:hAnsi="В" w:cs="В"/>
          <w:b/>
          <w:lang w:val="uk-UA" w:eastAsia="zh-CN"/>
        </w:rPr>
        <w:t>151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7C70B0B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202996">
        <w:rPr>
          <w:rFonts w:ascii="В" w:eastAsia="Times New Roman" w:hAnsi="В" w:cs="В"/>
          <w:lang w:val="uk-UA" w:eastAsia="zh-CN"/>
        </w:rPr>
        <w:t>151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202996">
        <w:rPr>
          <w:rFonts w:ascii="Times New Roman" w:eastAsia="Times New Roman" w:hAnsi="Times New Roman" w:cs="В"/>
          <w:lang w:val="uk-UA" w:eastAsia="zh-CN"/>
        </w:rPr>
        <w:t>21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202996">
        <w:rPr>
          <w:rFonts w:ascii="Times New Roman" w:eastAsia="Times New Roman" w:hAnsi="Times New Roman" w:cs="В"/>
          <w:lang w:val="uk-UA" w:eastAsia="zh-CN"/>
        </w:rPr>
        <w:t>9240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F81A37">
        <w:rPr>
          <w:rFonts w:ascii="Times New Roman" w:eastAsia="Times New Roman" w:hAnsi="Times New Roman" w:cs="В"/>
          <w:lang w:val="uk-UA" w:eastAsia="zh-CN"/>
        </w:rPr>
        <w:t>0,</w:t>
      </w:r>
      <w:r w:rsidR="00202996">
        <w:rPr>
          <w:rFonts w:ascii="Times New Roman" w:eastAsia="Times New Roman" w:hAnsi="Times New Roman" w:cs="В"/>
          <w:lang w:val="uk-UA" w:eastAsia="zh-CN"/>
        </w:rPr>
        <w:t>9240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9EBFB96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202996">
        <w:rPr>
          <w:rFonts w:ascii="В" w:eastAsia="Times New Roman" w:hAnsi="В" w:cs="В"/>
          <w:bCs/>
          <w:lang w:val="uk-UA" w:eastAsia="zh-CN"/>
        </w:rPr>
        <w:t>151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796EB5F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202996">
        <w:rPr>
          <w:rFonts w:ascii="Times New Roman" w:eastAsia="MS Mincho" w:hAnsi="Times New Roman" w:cs="Times New Roman"/>
          <w:bCs/>
          <w:lang w:val="uk-UA"/>
        </w:rPr>
        <w:t>151</w:t>
      </w:r>
      <w:r w:rsidR="000E2F61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F81A37">
        <w:rPr>
          <w:rFonts w:ascii="Times New Roman" w:eastAsia="MS Mincho" w:hAnsi="Times New Roman" w:cs="Times New Roman"/>
          <w:bCs/>
          <w:lang w:val="uk-UA"/>
        </w:rPr>
        <w:t>0,</w:t>
      </w:r>
      <w:r w:rsidR="00202996">
        <w:rPr>
          <w:rFonts w:ascii="Times New Roman" w:eastAsia="MS Mincho" w:hAnsi="Times New Roman" w:cs="Times New Roman"/>
          <w:bCs/>
          <w:lang w:val="uk-UA"/>
        </w:rPr>
        <w:t>9240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202996">
        <w:rPr>
          <w:rFonts w:ascii="Times New Roman" w:eastAsia="Times New Roman" w:hAnsi="Times New Roman" w:cs="В"/>
          <w:bCs/>
          <w:lang w:val="uk-UA" w:eastAsia="zh-CN"/>
        </w:rPr>
        <w:t>21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02996">
        <w:rPr>
          <w:rFonts w:ascii="Times New Roman" w:eastAsia="Times New Roman" w:hAnsi="Times New Roman" w:cs="Times New Roman"/>
          <w:bCs/>
          <w:lang w:val="uk-UA"/>
        </w:rPr>
        <w:t>281,24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02996">
        <w:rPr>
          <w:rFonts w:ascii="Times New Roman" w:eastAsia="Times New Roman" w:hAnsi="Times New Roman" w:cs="Times New Roman"/>
          <w:bCs/>
          <w:lang w:val="uk-UA"/>
        </w:rPr>
        <w:t>4017,75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524CD4E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0E2F61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9B250B3" w:rsidR="00337601" w:rsidRPr="00441B9B" w:rsidRDefault="000E2F61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53A37445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20299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151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E2F61"/>
    <w:rsid w:val="000F0DD5"/>
    <w:rsid w:val="00114966"/>
    <w:rsid w:val="0012718F"/>
    <w:rsid w:val="001B3DB0"/>
    <w:rsid w:val="001C70D5"/>
    <w:rsid w:val="00202996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03C4E"/>
    <w:rsid w:val="00A1011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A3BD4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3234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2022-01-25T08:54:00Z</cp:lastPrinted>
  <dcterms:created xsi:type="dcterms:W3CDTF">2022-01-25T08:57:00Z</dcterms:created>
  <dcterms:modified xsi:type="dcterms:W3CDTF">2022-01-27T11:46:00Z</dcterms:modified>
</cp:coreProperties>
</file>