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FB2" w:rsidRDefault="00B90FB2" w:rsidP="00B90FB2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u w:val="single"/>
          <w:lang w:val="uk-UA"/>
        </w:rPr>
        <w:t>Правила військового обліку</w:t>
      </w:r>
    </w:p>
    <w:p w:rsidR="00B90FB2" w:rsidRPr="006927D9" w:rsidRDefault="00B90FB2" w:rsidP="00B90FB2">
      <w:pPr>
        <w:numPr>
          <w:ilvl w:val="0"/>
          <w:numId w:val="1"/>
        </w:numPr>
        <w:shd w:val="clear" w:color="auto" w:fill="FFFFFF"/>
        <w:spacing w:after="0" w:line="240" w:lineRule="auto"/>
        <w:ind w:left="173" w:right="173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Призовники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військовозобов’язані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повинні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B90FB2" w:rsidRPr="006927D9" w:rsidRDefault="00B90FB2" w:rsidP="00B90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перебувати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військовому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обл</w:t>
      </w:r>
      <w:proofErr w:type="gram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місцем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проживання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районних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міських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комісаріатах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місцем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роботи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навчання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на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в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установах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організаціях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виконавчих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комітетах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сільських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селищних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міських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рад, 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також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разі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тимчасового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вибуття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межі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України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місцем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консульського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обліку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дипломатичних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установах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України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B90FB2" w:rsidRPr="006927D9" w:rsidRDefault="00B90FB2" w:rsidP="00B90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прибувати за викликом районних (міських) військових комісаріатів на збірні пункти, призовні дільниці у строки, зазначені в отриманих ними документах (мобілізаційних розпорядженнях, повістках або розпорядженнях районних (міських) військових комісаріатів), для взяття на військовий облік та визначення призначення на воєнний час, оформлення військово-облікових документів, приписки, проходження медичного огляду, направлення на підготовку з метою здобуття або вдосконалення військово-облікової спеціальності, призову на військову службу або на збори військовозобов’язаних;</w:t>
      </w:r>
    </w:p>
    <w:p w:rsidR="00B90FB2" w:rsidRPr="006927D9" w:rsidRDefault="00B90FB2" w:rsidP="00B90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не змінювати місце фактичного проживання (перебування) з моменту оголошення мобілізації, а у воєнний час не виїжджати з місця проживання без дозволу військового комісара районного (міського) військового комісаріату, відповідних керівників СБУ або Служби зовнішньої розвідки;</w:t>
      </w:r>
    </w:p>
    <w:p w:rsidR="00B90FB2" w:rsidRPr="006927D9" w:rsidRDefault="00B90FB2" w:rsidP="00B90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проходити медичний огляд та лікування в лікувально-профілактичних закладах згідно з рішеннями комісії з питань приписки, призовної комісії або військово-лікарської комісії районних (міських) військових комісаріатів;</w:t>
      </w:r>
    </w:p>
    <w:p w:rsidR="00B90FB2" w:rsidRPr="006927D9" w:rsidRDefault="00B90FB2" w:rsidP="00B90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проходити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proofErr w:type="gram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ідготовку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військової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служби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службу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виконувати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військовий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обов’язок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запасі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B90FB2" w:rsidRPr="006927D9" w:rsidRDefault="00B90FB2" w:rsidP="00B90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особисто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семиденний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строк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прибувати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районних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міських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комісаріатів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паспортом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громадянина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України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військово-обліковими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документами для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зняття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обл</w:t>
      </w:r>
      <w:proofErr w:type="gram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разі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вибуття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іншу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місцевість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нового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місця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проживання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службові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відрядження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на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навчання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відпустку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чи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лікування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строком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понад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три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місяці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межі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України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), 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разі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зм</w:t>
      </w:r>
      <w:proofErr w:type="gram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іни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місця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проживання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межах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міста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переїздом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територію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іншого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адміністративного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району;</w:t>
      </w:r>
    </w:p>
    <w:p w:rsidR="00B90FB2" w:rsidRPr="006927D9" w:rsidRDefault="00B90FB2" w:rsidP="00B90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особисто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повідомляти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семиденний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строк органам, в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яких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вони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перебувають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військовому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обл</w:t>
      </w:r>
      <w:proofErr w:type="gram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про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зміну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їх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сімейного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стану, стану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здоров’я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адреси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місця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проживання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перебування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освіти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місця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роботи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посади;</w:t>
      </w:r>
    </w:p>
    <w:p w:rsidR="00B90FB2" w:rsidRPr="006927D9" w:rsidRDefault="00B90FB2" w:rsidP="00B90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негайно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повідомляти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районним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міським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військовим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комісаріатам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місцем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обл</w:t>
      </w:r>
      <w:proofErr w:type="gram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втрату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військово-облікового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документа;</w:t>
      </w:r>
    </w:p>
    <w:p w:rsidR="00B90FB2" w:rsidRPr="006927D9" w:rsidRDefault="00B90FB2" w:rsidP="00B90FB2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подавати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щороку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1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жовтня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районних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міських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комісаріатів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документи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що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proofErr w:type="gram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ідтверджують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право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призовників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відстрочку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від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призову на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строкову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службу.</w:t>
      </w:r>
    </w:p>
    <w:p w:rsidR="00B90FB2" w:rsidRPr="006927D9" w:rsidRDefault="00B90FB2" w:rsidP="00B90FB2">
      <w:pPr>
        <w:numPr>
          <w:ilvl w:val="0"/>
          <w:numId w:val="2"/>
        </w:numPr>
        <w:shd w:val="clear" w:color="auto" w:fill="FFFFFF"/>
        <w:spacing w:after="0" w:line="240" w:lineRule="auto"/>
        <w:ind w:left="173" w:right="173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разі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коли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будь-яких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обставин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повістка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не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надійшла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громадяни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призовного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прибувають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призовної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дільниці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десятиденний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строк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дня початку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відповідного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чергового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призову на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строкову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службу,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визначеного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указом Президента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України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</w:p>
    <w:p w:rsidR="00B90FB2" w:rsidRPr="006927D9" w:rsidRDefault="00B90FB2" w:rsidP="00B90FB2">
      <w:pPr>
        <w:numPr>
          <w:ilvl w:val="0"/>
          <w:numId w:val="2"/>
        </w:numPr>
        <w:shd w:val="clear" w:color="auto" w:fill="FFFFFF"/>
        <w:spacing w:after="0" w:line="240" w:lineRule="auto"/>
        <w:ind w:left="173" w:right="173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Призовники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військовозобов’язані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порушення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встановлених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hyperlink r:id="rId5" w:anchor="n281" w:history="1">
        <w:r w:rsidRPr="006927D9">
          <w:rPr>
            <w:rFonts w:ascii="Times New Roman" w:eastAsia="Times New Roman" w:hAnsi="Times New Roman" w:cs="Times New Roman"/>
            <w:color w:val="25669C"/>
            <w:sz w:val="28"/>
            <w:szCs w:val="28"/>
            <w:u w:val="single"/>
          </w:rPr>
          <w:t>пунктами 1</w:t>
        </w:r>
      </w:hyperlink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 </w:t>
      </w:r>
      <w:hyperlink r:id="rId6" w:anchor="n291" w:history="1">
        <w:r w:rsidRPr="006927D9">
          <w:rPr>
            <w:rFonts w:ascii="Times New Roman" w:eastAsia="Times New Roman" w:hAnsi="Times New Roman" w:cs="Times New Roman"/>
            <w:color w:val="25669C"/>
            <w:sz w:val="28"/>
            <w:szCs w:val="28"/>
            <w:u w:val="single"/>
          </w:rPr>
          <w:t>2</w:t>
        </w:r>
      </w:hyperlink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цього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додатка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також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порушення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законодавства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військовий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обов’язок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службу, про оборону,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мобілізаційну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proofErr w:type="gram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ідготовку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мобілізацію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умисне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псування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військово-облікових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документів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чи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втрату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їх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необережності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неявку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викликом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районних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міських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комісаріатів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без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поважних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причин,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несвоєчасне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повідомлення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обл</w:t>
      </w:r>
      <w:proofErr w:type="gram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іковому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органу, де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перебувають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військовому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обліку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даних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зміну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їх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сімейного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стану, стану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здоров’я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після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тривалого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лікування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хвороби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та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або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хвороби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яка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спричинила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часткову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повну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втрату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працездатності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адреси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місця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проживання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перебування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освіти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місця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роботи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посади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притягуються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адміністративної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відповідальності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порядку,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визначеному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Кодексом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України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адміністративні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правопорушення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B90FB2" w:rsidRPr="006927D9" w:rsidRDefault="00B90FB2" w:rsidP="00B90FB2">
      <w:pPr>
        <w:numPr>
          <w:ilvl w:val="0"/>
          <w:numId w:val="2"/>
        </w:numPr>
        <w:shd w:val="clear" w:color="auto" w:fill="FFFFFF"/>
        <w:spacing w:after="0" w:line="240" w:lineRule="auto"/>
        <w:ind w:left="173" w:right="173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Керівники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посадові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особи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виконавчої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влади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місцевого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самоврядування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частин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proofErr w:type="gram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ідприємств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установ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організацій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навчальних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закладів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незалежно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від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їх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підпорядкування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власності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також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власники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будинків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порушення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законодавства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військовий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обов’язок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службу, про оборону,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мобілізаційну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підготовку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мобілізацію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неподання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районних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міських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комісаріатів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списків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громадян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які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підлягають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приписці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призовних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дільниць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прийняття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роботу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призовників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proofErr w:type="gram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ійськовозобов’язаних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які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не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перебувають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військовому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обліку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незабезпечення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сповіщення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призовників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військовозобов’язаних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їх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виклик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 районного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міського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комісаріату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перешкоду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їх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своєчасній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явці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збірні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пункти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чи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призовні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дільниці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несвоєчасне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подання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документів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необхідних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для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ведення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обліку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призовників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proofErr w:type="gram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ійськовозобов’язаних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та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неподання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відомостей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призовників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військовозобов’язаних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несуть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відповідальність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згідно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із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законом.</w:t>
      </w:r>
    </w:p>
    <w:p w:rsidR="00B90FB2" w:rsidRPr="006927D9" w:rsidRDefault="00B90FB2" w:rsidP="00B90FB2">
      <w:pPr>
        <w:numPr>
          <w:ilvl w:val="0"/>
          <w:numId w:val="2"/>
        </w:numPr>
        <w:shd w:val="clear" w:color="auto" w:fill="FFFFFF"/>
        <w:spacing w:after="0" w:line="240" w:lineRule="auto"/>
        <w:ind w:left="173" w:right="173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Громадяни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які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ухиляються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від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призову на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строкову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службу, призову за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мобілізацією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військового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обл</w:t>
      </w:r>
      <w:proofErr w:type="gram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іку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або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спеціальних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перевірочних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зборів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несуть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адміністративну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та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кримінальну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відповідальність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згідно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із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законодавством</w:t>
      </w:r>
      <w:proofErr w:type="spellEnd"/>
      <w:r w:rsidRPr="006927D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195621" w:rsidRDefault="00195621"/>
    <w:sectPr w:rsidR="00195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556CF"/>
    <w:multiLevelType w:val="multilevel"/>
    <w:tmpl w:val="08A2A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EE1A0D"/>
    <w:multiLevelType w:val="multilevel"/>
    <w:tmpl w:val="12361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D27420"/>
    <w:multiLevelType w:val="hybridMultilevel"/>
    <w:tmpl w:val="AFA876F4"/>
    <w:lvl w:ilvl="0" w:tplc="2AFEA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characterSpacingControl w:val="doNotCompress"/>
  <w:compat>
    <w:useFELayout/>
  </w:compat>
  <w:rsids>
    <w:rsidRoot w:val="00B90FB2"/>
    <w:rsid w:val="00195621"/>
    <w:rsid w:val="00B90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0.rada.gov.ua/laws/show/921-2016-%D0%BF/page2" TargetMode="External"/><Relationship Id="rId5" Type="http://schemas.openxmlformats.org/officeDocument/2006/relationships/hyperlink" Target="http://zakon0.rada.gov.ua/laws/show/921-2016-%D0%BF/page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4282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2021-12-15T07:57:00Z</dcterms:created>
  <dcterms:modified xsi:type="dcterms:W3CDTF">2021-12-15T07:57:00Z</dcterms:modified>
</cp:coreProperties>
</file>