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CE" w:rsidRPr="009744CE" w:rsidRDefault="009744CE" w:rsidP="009744CE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uk-UA"/>
        </w:rPr>
      </w:pPr>
      <w:r w:rsidRPr="009744CE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uk-UA"/>
        </w:rPr>
        <w:t>Які ставки збору з одноразового (спеціального) добровільного декларування встановлені щодо номінальної вартості державних облігацій України з терміном обігу більше ніж 365 днів без права дострокового погашення?</w:t>
      </w:r>
    </w:p>
    <w:p w:rsidR="009744CE" w:rsidRPr="009744CE" w:rsidRDefault="009744CE" w:rsidP="009744CE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uk-UA"/>
        </w:rPr>
      </w:pPr>
    </w:p>
    <w:p w:rsidR="009744CE" w:rsidRPr="009744CE" w:rsidRDefault="009744CE" w:rsidP="009744CE">
      <w:pPr>
        <w:shd w:val="clear" w:color="auto" w:fill="FFFFFF"/>
        <w:spacing w:after="45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13F9844" wp14:editId="247A81E3">
            <wp:extent cx="5374298" cy="3105150"/>
            <wp:effectExtent l="0" t="0" r="0" b="0"/>
            <wp:docPr id="2" name="Рисунок 2" descr="Якими є ставки збору з одноразового (спеціального) добровільного  декларування – Правозахи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Якими є ставки збору з одноразового (спеціального) добровільного  декларування – Правозахис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354" cy="3107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4CE" w:rsidRPr="009744CE" w:rsidRDefault="009744CE" w:rsidP="009744CE">
      <w:pPr>
        <w:shd w:val="clear" w:color="auto" w:fill="FFFFFF"/>
        <w:spacing w:after="45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</w:t>
      </w:r>
      <w:proofErr w:type="spellStart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п.п</w:t>
      </w:r>
      <w:proofErr w:type="spellEnd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8.3 п. 8 </w:t>
      </w:r>
      <w:proofErr w:type="spellStart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підрозд</w:t>
      </w:r>
      <w:proofErr w:type="spellEnd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9 прим. 4 </w:t>
      </w:r>
      <w:proofErr w:type="spellStart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</w:t>
      </w:r>
      <w:proofErr w:type="spellEnd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XX «Перехідні положення» Податкового кодексу України від 02 грудня 2010 року № 2755-VI із змінами та доповненнями сума збору з одноразового (спеціального) добровільного декларування щодо задекларованих об’єктів визначається шляхом застосування до бази для нарахування Збор</w:t>
      </w:r>
      <w:bookmarkStart w:id="0" w:name="_GoBack"/>
      <w:bookmarkEnd w:id="0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у, визначеної згідно з п. 7 </w:t>
      </w:r>
      <w:proofErr w:type="spellStart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підрозд</w:t>
      </w:r>
      <w:proofErr w:type="spellEnd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9 прим. 4 </w:t>
      </w:r>
      <w:proofErr w:type="spellStart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</w:t>
      </w:r>
      <w:proofErr w:type="spellEnd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XX «Перехідні положення» ПКУ, ставки 2,5 </w:t>
      </w:r>
      <w:proofErr w:type="spellStart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відс</w:t>
      </w:r>
      <w:proofErr w:type="spellEnd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щодо номінальної вартості державних облігацій України з терміном обігу більше ніж 365 днів без права дострокового погашення, придбаних декларантом у період з 01 вересня 2021 року до 31 серпня 2022 року до подання одноразової (спеціальної) добровільної декларації.</w:t>
      </w:r>
    </w:p>
    <w:p w:rsidR="009744CE" w:rsidRPr="009744CE" w:rsidRDefault="009744CE" w:rsidP="009744CE">
      <w:pPr>
        <w:shd w:val="clear" w:color="auto" w:fill="FFFFFF"/>
        <w:spacing w:after="45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Як альтернативу платник податків може обрати ставку 3 </w:t>
      </w:r>
      <w:proofErr w:type="spellStart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відс</w:t>
      </w:r>
      <w:proofErr w:type="spellEnd"/>
      <w:r w:rsidRPr="00974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із сплатою податкового зобов’язання трьома рівними частинами щорічно.</w:t>
      </w:r>
    </w:p>
    <w:p w:rsidR="006B5D9E" w:rsidRDefault="006B5D9E"/>
    <w:sectPr w:rsidR="006B5D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4CE"/>
    <w:rsid w:val="006B5D9E"/>
    <w:rsid w:val="0097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4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4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3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99816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311493466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658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Communications</dc:creator>
  <cp:lastModifiedBy>Communications</cp:lastModifiedBy>
  <cp:revision>1</cp:revision>
  <dcterms:created xsi:type="dcterms:W3CDTF">2021-08-16T06:10:00Z</dcterms:created>
  <dcterms:modified xsi:type="dcterms:W3CDTF">2021-08-16T06:13:00Z</dcterms:modified>
</cp:coreProperties>
</file>