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B49" w:rsidRPr="00E40B49" w:rsidRDefault="00E40B49" w:rsidP="00E40B49">
      <w:pPr>
        <w:spacing w:after="240"/>
        <w:ind w:firstLine="851"/>
        <w:jc w:val="center"/>
        <w:rPr>
          <w:rFonts w:ascii="Times New Roman" w:hAnsi="Times New Roman"/>
          <w:b/>
          <w:szCs w:val="26"/>
        </w:rPr>
      </w:pPr>
      <w:bookmarkStart w:id="0" w:name="_GoBack"/>
      <w:bookmarkEnd w:id="0"/>
      <w:r w:rsidRPr="00E40B49">
        <w:rPr>
          <w:rFonts w:ascii="Times New Roman" w:hAnsi="Times New Roman"/>
          <w:b/>
          <w:szCs w:val="26"/>
        </w:rPr>
        <w:t>Українці хворіли на 5 млн днів довше у 2021 році</w:t>
      </w:r>
    </w:p>
    <w:p w:rsidR="00E40B49" w:rsidRPr="00E40B49" w:rsidRDefault="00E40B49" w:rsidP="00E40B49">
      <w:pPr>
        <w:spacing w:after="240"/>
        <w:ind w:firstLine="851"/>
        <w:jc w:val="both"/>
        <w:rPr>
          <w:rFonts w:ascii="Times New Roman" w:hAnsi="Times New Roman"/>
          <w:szCs w:val="26"/>
        </w:rPr>
      </w:pPr>
      <w:r w:rsidRPr="00E40B49">
        <w:rPr>
          <w:rFonts w:ascii="Times New Roman" w:hAnsi="Times New Roman"/>
          <w:szCs w:val="26"/>
        </w:rPr>
        <w:t xml:space="preserve">Упродовж 2021 року Фонд соціального страхування України прийняв на фінансування лікарняні українських працівників загальною тривалістю 41 мільйон 341 тисяча 662 дні за рахунок коштів Фонду. Застраховані особи провели на лікарняних у разі захворювань, травм, потреби догляду за хворими рідними або ізоляції від </w:t>
      </w:r>
      <w:r w:rsidRPr="00E40B49">
        <w:rPr>
          <w:rFonts w:ascii="Times New Roman" w:hAnsi="Times New Roman"/>
          <w:szCs w:val="26"/>
          <w:lang w:val="en-US"/>
        </w:rPr>
        <w:t>COVID</w:t>
      </w:r>
      <w:r w:rsidRPr="00E40B49">
        <w:rPr>
          <w:rFonts w:ascii="Times New Roman" w:hAnsi="Times New Roman"/>
          <w:szCs w:val="26"/>
        </w:rPr>
        <w:t>-19 на 4,8 мільйона днів більше, ніж у 2020 році.</w:t>
      </w:r>
    </w:p>
    <w:p w:rsidR="00E40B49" w:rsidRPr="00E40B49" w:rsidRDefault="00E40B49" w:rsidP="00E40B49">
      <w:pPr>
        <w:spacing w:after="240"/>
        <w:ind w:firstLine="851"/>
        <w:jc w:val="both"/>
        <w:rPr>
          <w:rFonts w:ascii="Times New Roman" w:hAnsi="Times New Roman"/>
          <w:szCs w:val="26"/>
        </w:rPr>
      </w:pPr>
      <w:r w:rsidRPr="00E40B49">
        <w:rPr>
          <w:rFonts w:ascii="Times New Roman" w:hAnsi="Times New Roman"/>
          <w:szCs w:val="26"/>
        </w:rPr>
        <w:t xml:space="preserve">Слідкувати за станом усіх виплат від ФССУ можна у телеграм-каналі, де в оперативному режимі оновлюється інформація про здійснене фінансування: </w:t>
      </w:r>
      <w:hyperlink r:id="rId7" w:history="1">
        <w:r w:rsidRPr="00E40B49">
          <w:rPr>
            <w:rStyle w:val="a5"/>
            <w:rFonts w:ascii="Times New Roman" w:hAnsi="Times New Roman"/>
            <w:szCs w:val="26"/>
          </w:rPr>
          <w:t>https://t.me/socialfund</w:t>
        </w:r>
      </w:hyperlink>
      <w:r w:rsidRPr="00E40B49">
        <w:rPr>
          <w:rFonts w:ascii="Times New Roman" w:hAnsi="Times New Roman"/>
          <w:szCs w:val="26"/>
        </w:rPr>
        <w:t>.</w:t>
      </w:r>
    </w:p>
    <w:p w:rsidR="00E40B49" w:rsidRPr="00E40B49" w:rsidRDefault="00E40B49" w:rsidP="00E40B49">
      <w:pPr>
        <w:spacing w:after="240"/>
        <w:ind w:firstLine="851"/>
        <w:jc w:val="both"/>
        <w:rPr>
          <w:rFonts w:ascii="Times New Roman" w:hAnsi="Times New Roman"/>
          <w:szCs w:val="26"/>
        </w:rPr>
      </w:pPr>
      <w:r w:rsidRPr="00E40B49">
        <w:rPr>
          <w:rFonts w:ascii="Times New Roman" w:hAnsi="Times New Roman" w:hint="eastAsia"/>
          <w:szCs w:val="26"/>
        </w:rPr>
        <w:t>Щоб</w:t>
      </w:r>
      <w:r w:rsidRPr="00E40B49">
        <w:rPr>
          <w:rFonts w:ascii="Times New Roman" w:hAnsi="Times New Roman"/>
          <w:szCs w:val="26"/>
        </w:rPr>
        <w:t xml:space="preserve"> </w:t>
      </w:r>
      <w:r w:rsidRPr="00E40B49">
        <w:rPr>
          <w:rFonts w:ascii="Times New Roman" w:hAnsi="Times New Roman" w:hint="eastAsia"/>
          <w:szCs w:val="26"/>
        </w:rPr>
        <w:t>дізнатись</w:t>
      </w:r>
      <w:r w:rsidRPr="00E40B49">
        <w:rPr>
          <w:rFonts w:ascii="Times New Roman" w:hAnsi="Times New Roman"/>
          <w:szCs w:val="26"/>
        </w:rPr>
        <w:t xml:space="preserve"> </w:t>
      </w:r>
      <w:r w:rsidRPr="00E40B49">
        <w:rPr>
          <w:rFonts w:ascii="Times New Roman" w:hAnsi="Times New Roman" w:hint="eastAsia"/>
          <w:szCs w:val="26"/>
        </w:rPr>
        <w:t>дату</w:t>
      </w:r>
      <w:r w:rsidRPr="00E40B49">
        <w:rPr>
          <w:rFonts w:ascii="Times New Roman" w:hAnsi="Times New Roman"/>
          <w:szCs w:val="26"/>
        </w:rPr>
        <w:t xml:space="preserve"> оплати лікарняного, </w:t>
      </w:r>
      <w:r w:rsidRPr="00E40B49">
        <w:rPr>
          <w:rFonts w:ascii="Times New Roman" w:hAnsi="Times New Roman" w:hint="eastAsia"/>
          <w:szCs w:val="26"/>
        </w:rPr>
        <w:t>потрібно</w:t>
      </w:r>
      <w:r w:rsidRPr="00E40B49">
        <w:rPr>
          <w:rFonts w:ascii="Times New Roman" w:hAnsi="Times New Roman"/>
          <w:szCs w:val="26"/>
        </w:rPr>
        <w:t xml:space="preserve"> </w:t>
      </w:r>
      <w:r w:rsidRPr="00E40B49">
        <w:rPr>
          <w:rFonts w:ascii="Times New Roman" w:hAnsi="Times New Roman" w:hint="eastAsia"/>
          <w:szCs w:val="26"/>
        </w:rPr>
        <w:t>знати</w:t>
      </w:r>
      <w:r w:rsidRPr="00E40B49">
        <w:rPr>
          <w:rFonts w:ascii="Times New Roman" w:hAnsi="Times New Roman"/>
          <w:szCs w:val="26"/>
        </w:rPr>
        <w:t xml:space="preserve"> </w:t>
      </w:r>
      <w:r w:rsidRPr="00E40B49">
        <w:rPr>
          <w:rFonts w:ascii="Times New Roman" w:hAnsi="Times New Roman" w:hint="eastAsia"/>
          <w:szCs w:val="26"/>
        </w:rPr>
        <w:t>точну</w:t>
      </w:r>
      <w:r w:rsidRPr="00E40B49">
        <w:rPr>
          <w:rFonts w:ascii="Times New Roman" w:hAnsi="Times New Roman"/>
          <w:szCs w:val="26"/>
        </w:rPr>
        <w:t xml:space="preserve"> </w:t>
      </w:r>
      <w:r w:rsidRPr="00E40B49">
        <w:rPr>
          <w:rFonts w:ascii="Times New Roman" w:hAnsi="Times New Roman" w:hint="eastAsia"/>
          <w:szCs w:val="26"/>
        </w:rPr>
        <w:t>дату</w:t>
      </w:r>
      <w:r w:rsidRPr="00E40B49">
        <w:rPr>
          <w:rFonts w:ascii="Times New Roman" w:hAnsi="Times New Roman"/>
          <w:szCs w:val="26"/>
        </w:rPr>
        <w:t xml:space="preserve"> </w:t>
      </w:r>
      <w:r w:rsidRPr="00E40B49">
        <w:rPr>
          <w:rFonts w:ascii="Times New Roman" w:hAnsi="Times New Roman" w:hint="eastAsia"/>
          <w:szCs w:val="26"/>
        </w:rPr>
        <w:t>подання</w:t>
      </w:r>
      <w:r w:rsidRPr="00E40B49">
        <w:rPr>
          <w:rFonts w:ascii="Times New Roman" w:hAnsi="Times New Roman"/>
          <w:szCs w:val="26"/>
        </w:rPr>
        <w:t xml:space="preserve"> за ним </w:t>
      </w:r>
      <w:r w:rsidRPr="00E40B49">
        <w:rPr>
          <w:rFonts w:ascii="Times New Roman" w:hAnsi="Times New Roman" w:hint="eastAsia"/>
          <w:szCs w:val="26"/>
        </w:rPr>
        <w:t>заяви</w:t>
      </w:r>
      <w:r w:rsidRPr="00E40B49">
        <w:rPr>
          <w:rFonts w:ascii="Times New Roman" w:hAnsi="Times New Roman"/>
          <w:szCs w:val="26"/>
        </w:rPr>
        <w:t>-</w:t>
      </w:r>
      <w:r w:rsidRPr="00E40B49">
        <w:rPr>
          <w:rFonts w:ascii="Times New Roman" w:hAnsi="Times New Roman" w:hint="eastAsia"/>
          <w:szCs w:val="26"/>
        </w:rPr>
        <w:t>розрахунку</w:t>
      </w:r>
      <w:r w:rsidRPr="00E40B49">
        <w:rPr>
          <w:rFonts w:ascii="Times New Roman" w:hAnsi="Times New Roman"/>
          <w:szCs w:val="26"/>
        </w:rPr>
        <w:t xml:space="preserve"> </w:t>
      </w:r>
      <w:r w:rsidRPr="00E40B49">
        <w:rPr>
          <w:rFonts w:ascii="Times New Roman" w:hAnsi="Times New Roman" w:hint="eastAsia"/>
          <w:szCs w:val="26"/>
        </w:rPr>
        <w:t>роботодавцем</w:t>
      </w:r>
      <w:r w:rsidRPr="00E40B49">
        <w:rPr>
          <w:rFonts w:ascii="Times New Roman" w:hAnsi="Times New Roman"/>
          <w:szCs w:val="26"/>
        </w:rPr>
        <w:t xml:space="preserve"> – її можна уточнити у бухгалтерії підприємства або </w:t>
      </w:r>
      <w:r w:rsidRPr="00E40B49">
        <w:rPr>
          <w:rFonts w:ascii="Times New Roman" w:hAnsi="Times New Roman" w:hint="eastAsia"/>
          <w:szCs w:val="26"/>
        </w:rPr>
        <w:t>відділенні</w:t>
      </w:r>
      <w:r w:rsidRPr="00E40B49">
        <w:rPr>
          <w:rFonts w:ascii="Times New Roman" w:hAnsi="Times New Roman"/>
          <w:szCs w:val="26"/>
        </w:rPr>
        <w:t xml:space="preserve"> </w:t>
      </w:r>
      <w:r w:rsidRPr="00E40B49">
        <w:rPr>
          <w:rFonts w:ascii="Times New Roman" w:hAnsi="Times New Roman" w:hint="eastAsia"/>
          <w:szCs w:val="26"/>
        </w:rPr>
        <w:t>Фонду</w:t>
      </w:r>
      <w:r w:rsidRPr="00E40B49">
        <w:rPr>
          <w:rFonts w:ascii="Times New Roman" w:hAnsi="Times New Roman"/>
          <w:szCs w:val="26"/>
        </w:rPr>
        <w:t xml:space="preserve">, </w:t>
      </w:r>
      <w:r w:rsidRPr="00E40B49">
        <w:rPr>
          <w:rFonts w:ascii="Times New Roman" w:hAnsi="Times New Roman" w:hint="eastAsia"/>
          <w:szCs w:val="26"/>
        </w:rPr>
        <w:t>для</w:t>
      </w:r>
      <w:r w:rsidRPr="00E40B49">
        <w:rPr>
          <w:rFonts w:ascii="Times New Roman" w:hAnsi="Times New Roman"/>
          <w:szCs w:val="26"/>
        </w:rPr>
        <w:t xml:space="preserve"> </w:t>
      </w:r>
      <w:r w:rsidRPr="00E40B49">
        <w:rPr>
          <w:rFonts w:ascii="Times New Roman" w:hAnsi="Times New Roman" w:hint="eastAsia"/>
          <w:szCs w:val="26"/>
        </w:rPr>
        <w:t>цього</w:t>
      </w:r>
      <w:r w:rsidRPr="00E40B49">
        <w:rPr>
          <w:rFonts w:ascii="Times New Roman" w:hAnsi="Times New Roman"/>
          <w:szCs w:val="26"/>
        </w:rPr>
        <w:t xml:space="preserve"> </w:t>
      </w:r>
      <w:r w:rsidRPr="00E40B49">
        <w:rPr>
          <w:rFonts w:ascii="Times New Roman" w:hAnsi="Times New Roman" w:hint="eastAsia"/>
          <w:szCs w:val="26"/>
        </w:rPr>
        <w:t>у</w:t>
      </w:r>
      <w:r w:rsidRPr="00E40B49">
        <w:rPr>
          <w:rFonts w:ascii="Times New Roman" w:hAnsi="Times New Roman"/>
          <w:szCs w:val="26"/>
        </w:rPr>
        <w:t xml:space="preserve"> </w:t>
      </w:r>
      <w:r w:rsidRPr="00E40B49">
        <w:rPr>
          <w:rFonts w:ascii="Times New Roman" w:hAnsi="Times New Roman" w:hint="eastAsia"/>
          <w:szCs w:val="26"/>
        </w:rPr>
        <w:t>кожному</w:t>
      </w:r>
      <w:r w:rsidRPr="00E40B49">
        <w:rPr>
          <w:rFonts w:ascii="Times New Roman" w:hAnsi="Times New Roman"/>
          <w:szCs w:val="26"/>
        </w:rPr>
        <w:t xml:space="preserve"> </w:t>
      </w:r>
      <w:r w:rsidRPr="00E40B49">
        <w:rPr>
          <w:rFonts w:ascii="Times New Roman" w:hAnsi="Times New Roman" w:hint="eastAsia"/>
          <w:szCs w:val="26"/>
        </w:rPr>
        <w:t>обласному</w:t>
      </w:r>
      <w:r w:rsidRPr="00E40B49">
        <w:rPr>
          <w:rFonts w:ascii="Times New Roman" w:hAnsi="Times New Roman"/>
          <w:szCs w:val="26"/>
        </w:rPr>
        <w:t xml:space="preserve"> </w:t>
      </w:r>
      <w:r w:rsidRPr="00E40B49">
        <w:rPr>
          <w:rFonts w:ascii="Times New Roman" w:hAnsi="Times New Roman" w:hint="eastAsia"/>
          <w:szCs w:val="26"/>
        </w:rPr>
        <w:t>управлінні</w:t>
      </w:r>
      <w:r w:rsidRPr="00E40B49">
        <w:rPr>
          <w:rFonts w:ascii="Times New Roman" w:hAnsi="Times New Roman"/>
          <w:szCs w:val="26"/>
        </w:rPr>
        <w:t xml:space="preserve"> </w:t>
      </w:r>
      <w:r w:rsidRPr="00E40B49">
        <w:rPr>
          <w:rFonts w:ascii="Times New Roman" w:hAnsi="Times New Roman" w:hint="eastAsia"/>
          <w:szCs w:val="26"/>
        </w:rPr>
        <w:t>створено</w:t>
      </w:r>
      <w:r w:rsidRPr="00E40B49">
        <w:rPr>
          <w:rFonts w:ascii="Times New Roman" w:hAnsi="Times New Roman"/>
          <w:szCs w:val="26"/>
        </w:rPr>
        <w:t xml:space="preserve"> </w:t>
      </w:r>
      <w:r w:rsidRPr="00E40B49">
        <w:rPr>
          <w:rFonts w:ascii="Times New Roman" w:hAnsi="Times New Roman" w:hint="eastAsia"/>
          <w:szCs w:val="26"/>
        </w:rPr>
        <w:t>окремі</w:t>
      </w:r>
      <w:r w:rsidRPr="00E40B49">
        <w:rPr>
          <w:rFonts w:ascii="Times New Roman" w:hAnsi="Times New Roman"/>
          <w:szCs w:val="26"/>
        </w:rPr>
        <w:t xml:space="preserve"> </w:t>
      </w:r>
      <w:r w:rsidRPr="00E40B49">
        <w:rPr>
          <w:rFonts w:ascii="Times New Roman" w:hAnsi="Times New Roman" w:hint="eastAsia"/>
          <w:szCs w:val="26"/>
        </w:rPr>
        <w:t>гарячі</w:t>
      </w:r>
      <w:r w:rsidRPr="00E40B49">
        <w:rPr>
          <w:rFonts w:ascii="Times New Roman" w:hAnsi="Times New Roman"/>
          <w:szCs w:val="26"/>
        </w:rPr>
        <w:t xml:space="preserve"> </w:t>
      </w:r>
      <w:r w:rsidRPr="00E40B49">
        <w:rPr>
          <w:rFonts w:ascii="Times New Roman" w:hAnsi="Times New Roman" w:hint="eastAsia"/>
          <w:szCs w:val="26"/>
        </w:rPr>
        <w:t>лінії</w:t>
      </w:r>
      <w:r w:rsidRPr="00E40B49">
        <w:rPr>
          <w:rFonts w:ascii="Times New Roman" w:hAnsi="Times New Roman"/>
          <w:szCs w:val="26"/>
        </w:rPr>
        <w:t xml:space="preserve">: </w:t>
      </w:r>
      <w:hyperlink r:id="rId8" w:history="1">
        <w:r w:rsidRPr="00E40B49">
          <w:rPr>
            <w:rStyle w:val="a5"/>
            <w:rFonts w:ascii="Times New Roman" w:hAnsi="Times New Roman"/>
            <w:szCs w:val="26"/>
          </w:rPr>
          <w:t>http://www.fssu.gov.ua/fse/control/main/uk/publish/article/968493</w:t>
        </w:r>
      </w:hyperlink>
      <w:r w:rsidRPr="00E40B49">
        <w:rPr>
          <w:rFonts w:ascii="Times New Roman" w:hAnsi="Times New Roman"/>
          <w:szCs w:val="26"/>
        </w:rPr>
        <w:t xml:space="preserve">. </w:t>
      </w:r>
    </w:p>
    <w:p w:rsidR="00E40B49" w:rsidRPr="00E40B49" w:rsidRDefault="00E40B49" w:rsidP="00E40B49">
      <w:pPr>
        <w:spacing w:after="240"/>
        <w:ind w:firstLine="851"/>
        <w:jc w:val="both"/>
        <w:rPr>
          <w:rFonts w:ascii="Times New Roman" w:hAnsi="Times New Roman"/>
          <w:szCs w:val="26"/>
        </w:rPr>
      </w:pPr>
      <w:r w:rsidRPr="00E40B49">
        <w:rPr>
          <w:rFonts w:ascii="Times New Roman" w:hAnsi="Times New Roman"/>
          <w:szCs w:val="26"/>
        </w:rPr>
        <w:t>Нагадаємо, допомоги по тимчасовій непрацездатності виплачуються Фондом соціального страхування України, починаючи з шостого дня лікарняного й до моменту одужання або встановлення інвалідності (перші п’ять днів фінансуються за рахунок коштів роботодавця). Виключенням є допомоги по догляду за хворими дітьми, які фінансуються Фондом з першого дня догляду.</w:t>
      </w:r>
    </w:p>
    <w:p w:rsidR="00E40B49" w:rsidRPr="00E40B49" w:rsidRDefault="00E40B49" w:rsidP="00E40B49">
      <w:pPr>
        <w:spacing w:after="240"/>
        <w:ind w:firstLine="851"/>
        <w:jc w:val="both"/>
        <w:rPr>
          <w:rFonts w:ascii="Times New Roman" w:hAnsi="Times New Roman"/>
          <w:szCs w:val="26"/>
        </w:rPr>
      </w:pPr>
      <w:r w:rsidRPr="00E40B49">
        <w:rPr>
          <w:rFonts w:ascii="Times New Roman" w:hAnsi="Times New Roman"/>
          <w:szCs w:val="26"/>
        </w:rPr>
        <w:t>Розмір виплат у зв’язку з тимчасовою втратою працездатності залежить від тривалості страхового стажу та визначається, виходячи із середньоденної заробітної плати працівника. Середньоденна заробітна плата (дохід, грошове забезпечення) обчислюється шляхом ділення нарахованої за розрахунковий період (12 календарних місяців) заробітної плати, на яку нарахований єдиний внесок на загальнообов’язкове державне соціальне страхування, на кількість календарних днів зайнятості у розрахунковому періоді без урахування календарних днів, невідпрацьованих з поважних причин.</w:t>
      </w:r>
    </w:p>
    <w:p w:rsidR="00E40B49" w:rsidRPr="00E40B49" w:rsidRDefault="00E40B49" w:rsidP="00E40B49">
      <w:pPr>
        <w:ind w:firstLine="851"/>
        <w:jc w:val="both"/>
        <w:rPr>
          <w:rFonts w:ascii="Times New Roman" w:hAnsi="Times New Roman"/>
          <w:b/>
          <w:szCs w:val="26"/>
        </w:rPr>
      </w:pPr>
      <w:r w:rsidRPr="00E40B49">
        <w:rPr>
          <w:rFonts w:ascii="Times New Roman" w:hAnsi="Times New Roman"/>
          <w:b/>
          <w:szCs w:val="26"/>
        </w:rPr>
        <w:t>У залежності від страхового стажу розмір допомоги складає:</w:t>
      </w:r>
    </w:p>
    <w:p w:rsidR="00E40B49" w:rsidRPr="00E40B49" w:rsidRDefault="00E40B49" w:rsidP="00E40B49">
      <w:pPr>
        <w:ind w:firstLine="851"/>
        <w:jc w:val="both"/>
        <w:rPr>
          <w:rFonts w:ascii="Times New Roman" w:hAnsi="Times New Roman"/>
          <w:szCs w:val="26"/>
        </w:rPr>
      </w:pPr>
      <w:r w:rsidRPr="00E40B49">
        <w:rPr>
          <w:rFonts w:ascii="Times New Roman" w:hAnsi="Times New Roman"/>
          <w:szCs w:val="26"/>
        </w:rPr>
        <w:t>1) 50% середньої заробітної плати (доходу) – застрахованим особам, які мають страховий стаж до 3 років, або в разі самоізоляції від COVID-19 під медичним наглядом незалежно від тривалості стажу;</w:t>
      </w:r>
    </w:p>
    <w:p w:rsidR="00E40B49" w:rsidRPr="00E40B49" w:rsidRDefault="00E40B49" w:rsidP="00E40B49">
      <w:pPr>
        <w:ind w:firstLine="851"/>
        <w:jc w:val="both"/>
        <w:rPr>
          <w:rFonts w:ascii="Times New Roman" w:hAnsi="Times New Roman"/>
          <w:szCs w:val="26"/>
        </w:rPr>
      </w:pPr>
      <w:r w:rsidRPr="00E40B49">
        <w:rPr>
          <w:rFonts w:ascii="Times New Roman" w:hAnsi="Times New Roman"/>
          <w:szCs w:val="26"/>
        </w:rPr>
        <w:t>2) 60% середньої заробітної плати (доходу) – страховий стаж від 3 до 5 років;</w:t>
      </w:r>
    </w:p>
    <w:p w:rsidR="00E40B49" w:rsidRPr="00E40B49" w:rsidRDefault="00E40B49" w:rsidP="00E40B49">
      <w:pPr>
        <w:ind w:firstLine="851"/>
        <w:jc w:val="both"/>
        <w:rPr>
          <w:rFonts w:ascii="Times New Roman" w:hAnsi="Times New Roman"/>
          <w:szCs w:val="26"/>
        </w:rPr>
      </w:pPr>
      <w:r w:rsidRPr="00E40B49">
        <w:rPr>
          <w:rFonts w:ascii="Times New Roman" w:hAnsi="Times New Roman"/>
          <w:szCs w:val="26"/>
        </w:rPr>
        <w:t>3) 70% середньої заробітної плати (доходу) – страховий стаж від 5 до 8 років;</w:t>
      </w:r>
    </w:p>
    <w:p w:rsidR="00E40B49" w:rsidRPr="00E40B49" w:rsidRDefault="00E40B49" w:rsidP="00E40B49">
      <w:pPr>
        <w:spacing w:after="240"/>
        <w:ind w:firstLine="851"/>
        <w:jc w:val="both"/>
        <w:rPr>
          <w:rFonts w:ascii="Times New Roman" w:hAnsi="Times New Roman"/>
          <w:szCs w:val="26"/>
        </w:rPr>
      </w:pPr>
      <w:r w:rsidRPr="00E40B49">
        <w:rPr>
          <w:rFonts w:ascii="Times New Roman" w:hAnsi="Times New Roman"/>
          <w:szCs w:val="26"/>
        </w:rPr>
        <w:t>4) 100% середньої заробітної плати (доходу) – страховий стаж понад 8 років, або при наявності пільг відповідно до законодавства, а також медичним працівникам у разі самоізоляції від COVID-19 під медичним наглядом незалежно від тривалості стажу.</w:t>
      </w:r>
    </w:p>
    <w:p w:rsidR="00E40B49" w:rsidRPr="00E40B49" w:rsidRDefault="00E40B49" w:rsidP="00E40B49">
      <w:pPr>
        <w:rPr>
          <w:rFonts w:ascii="Calibri" w:hAnsi="Calibri"/>
          <w:szCs w:val="26"/>
        </w:rPr>
      </w:pPr>
      <w:r w:rsidRPr="00E40B49">
        <w:rPr>
          <w:rFonts w:ascii="Calibri" w:hAnsi="Calibri"/>
          <w:szCs w:val="26"/>
        </w:rPr>
        <w:t xml:space="preserve"> </w:t>
      </w:r>
    </w:p>
    <w:p w:rsidR="00E40B49" w:rsidRPr="00E40B49" w:rsidRDefault="00E40B49" w:rsidP="00E40B49">
      <w:pPr>
        <w:tabs>
          <w:tab w:val="left" w:pos="4678"/>
        </w:tabs>
        <w:spacing w:line="288" w:lineRule="auto"/>
        <w:ind w:left="5103"/>
        <w:rPr>
          <w:rFonts w:ascii="Times New Roman" w:hAnsi="Times New Roman"/>
          <w:b/>
          <w:szCs w:val="26"/>
        </w:rPr>
      </w:pPr>
      <w:r w:rsidRPr="00E40B49">
        <w:rPr>
          <w:rFonts w:ascii="Times New Roman" w:hAnsi="Times New Roman"/>
          <w:b/>
          <w:szCs w:val="26"/>
        </w:rPr>
        <w:t xml:space="preserve">Пресслужба виконавчої дирекції </w:t>
      </w:r>
      <w:r w:rsidRPr="00E40B49">
        <w:rPr>
          <w:rFonts w:ascii="Times New Roman" w:hAnsi="Times New Roman"/>
          <w:b/>
          <w:szCs w:val="26"/>
        </w:rPr>
        <w:br/>
        <w:t>Фонду соціального страхування України</w:t>
      </w:r>
    </w:p>
    <w:p w:rsidR="008543D1" w:rsidRPr="00E40B49" w:rsidRDefault="008543D1">
      <w:pPr>
        <w:rPr>
          <w:szCs w:val="26"/>
        </w:rPr>
      </w:pPr>
    </w:p>
    <w:sectPr w:rsidR="008543D1" w:rsidRPr="00E40B49" w:rsidSect="001D516C">
      <w:headerReference w:type="even" r:id="rId9"/>
      <w:headerReference w:type="default" r:id="rId10"/>
      <w:headerReference w:type="first" r:id="rId11"/>
      <w:pgSz w:w="11906" w:h="16838" w:code="9"/>
      <w:pgMar w:top="142" w:right="849" w:bottom="142" w:left="1418"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60F8" w:rsidRDefault="002460F8">
      <w:r>
        <w:separator/>
      </w:r>
    </w:p>
  </w:endnote>
  <w:endnote w:type="continuationSeparator" w:id="0">
    <w:p w:rsidR="002460F8" w:rsidRDefault="00246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ntiqua">
    <w:altName w:val="Times New Roman"/>
    <w:charset w:val="CC"/>
    <w:family w:val="roman"/>
    <w:pitch w:val="variable"/>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60F8" w:rsidRDefault="002460F8">
      <w:r>
        <w:separator/>
      </w:r>
    </w:p>
  </w:footnote>
  <w:footnote w:type="continuationSeparator" w:id="0">
    <w:p w:rsidR="002460F8" w:rsidRDefault="002460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33BA" w:rsidRDefault="00A04C8C">
    <w:pPr>
      <w:framePr w:wrap="around" w:vAnchor="text" w:hAnchor="margin" w:xAlign="center" w:y="1"/>
    </w:pPr>
    <w:r>
      <w:fldChar w:fldCharType="begin"/>
    </w:r>
    <w:r>
      <w:instrText xml:space="preserve">PAGE  </w:instrText>
    </w:r>
    <w:r>
      <w:fldChar w:fldCharType="separate"/>
    </w:r>
    <w:r>
      <w:rPr>
        <w:noProof/>
      </w:rPr>
      <w:t>1</w:t>
    </w:r>
    <w:r>
      <w:fldChar w:fldCharType="end"/>
    </w:r>
  </w:p>
  <w:p w:rsidR="008E33BA" w:rsidRDefault="002460F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33BA" w:rsidRDefault="00A04C8C">
    <w:pPr>
      <w:framePr w:wrap="around" w:vAnchor="text" w:hAnchor="margin" w:xAlign="center" w:y="1"/>
    </w:pPr>
    <w:r>
      <w:fldChar w:fldCharType="begin"/>
    </w:r>
    <w:r>
      <w:instrText xml:space="preserve">PAGE  </w:instrText>
    </w:r>
    <w:r>
      <w:fldChar w:fldCharType="separate"/>
    </w:r>
    <w:r w:rsidR="00E40B49">
      <w:rPr>
        <w:noProof/>
      </w:rPr>
      <w:t>2</w:t>
    </w:r>
    <w:r>
      <w:fldChar w:fldCharType="end"/>
    </w:r>
  </w:p>
  <w:p w:rsidR="008E33BA" w:rsidRDefault="002460F8"/>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13C" w:rsidRDefault="002460F8" w:rsidP="00C3113C">
    <w:pPr>
      <w:pStyle w:val="a3"/>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6"/>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0B49"/>
    <w:rsid w:val="002460F8"/>
    <w:rsid w:val="003F188E"/>
    <w:rsid w:val="00437C55"/>
    <w:rsid w:val="00690AAD"/>
    <w:rsid w:val="008543D1"/>
    <w:rsid w:val="008D2FDF"/>
    <w:rsid w:val="00917360"/>
    <w:rsid w:val="0098148D"/>
    <w:rsid w:val="00A04C8C"/>
    <w:rsid w:val="00B54190"/>
    <w:rsid w:val="00CB0F8C"/>
    <w:rsid w:val="00D3492E"/>
    <w:rsid w:val="00E40B4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B49"/>
    <w:pPr>
      <w:spacing w:after="0" w:line="240" w:lineRule="auto"/>
    </w:pPr>
    <w:rPr>
      <w:rFonts w:ascii="Antiqua" w:eastAsia="Times New Roman" w:hAnsi="Antiqua"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40B49"/>
    <w:pPr>
      <w:tabs>
        <w:tab w:val="center" w:pos="4153"/>
        <w:tab w:val="right" w:pos="8306"/>
      </w:tabs>
    </w:pPr>
  </w:style>
  <w:style w:type="character" w:customStyle="1" w:styleId="a4">
    <w:name w:val="Верхний колонтитул Знак"/>
    <w:basedOn w:val="a0"/>
    <w:link w:val="a3"/>
    <w:rsid w:val="00E40B49"/>
    <w:rPr>
      <w:rFonts w:ascii="Antiqua" w:eastAsia="Times New Roman" w:hAnsi="Antiqua" w:cs="Times New Roman"/>
      <w:sz w:val="26"/>
      <w:szCs w:val="20"/>
      <w:lang w:eastAsia="ru-RU"/>
    </w:rPr>
  </w:style>
  <w:style w:type="character" w:styleId="a5">
    <w:name w:val="Hyperlink"/>
    <w:rsid w:val="00E40B49"/>
    <w:rPr>
      <w:color w:val="0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B49"/>
    <w:pPr>
      <w:spacing w:after="0" w:line="240" w:lineRule="auto"/>
    </w:pPr>
    <w:rPr>
      <w:rFonts w:ascii="Antiqua" w:eastAsia="Times New Roman" w:hAnsi="Antiqua"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40B49"/>
    <w:pPr>
      <w:tabs>
        <w:tab w:val="center" w:pos="4153"/>
        <w:tab w:val="right" w:pos="8306"/>
      </w:tabs>
    </w:pPr>
  </w:style>
  <w:style w:type="character" w:customStyle="1" w:styleId="a4">
    <w:name w:val="Верхний колонтитул Знак"/>
    <w:basedOn w:val="a0"/>
    <w:link w:val="a3"/>
    <w:rsid w:val="00E40B49"/>
    <w:rPr>
      <w:rFonts w:ascii="Antiqua" w:eastAsia="Times New Roman" w:hAnsi="Antiqua" w:cs="Times New Roman"/>
      <w:sz w:val="26"/>
      <w:szCs w:val="20"/>
      <w:lang w:eastAsia="ru-RU"/>
    </w:rPr>
  </w:style>
  <w:style w:type="character" w:styleId="a5">
    <w:name w:val="Hyperlink"/>
    <w:rsid w:val="00E40B49"/>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ssu.gov.ua/fse/control/main/uk/publish/article/96849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t.me/socialfund"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1700</Words>
  <Characters>969</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Зоряна</dc:creator>
  <cp:lastModifiedBy>user06</cp:lastModifiedBy>
  <cp:revision>2</cp:revision>
  <cp:lastPrinted>2022-02-02T13:27:00Z</cp:lastPrinted>
  <dcterms:created xsi:type="dcterms:W3CDTF">2022-02-02T13:26:00Z</dcterms:created>
  <dcterms:modified xsi:type="dcterms:W3CDTF">2022-02-15T08:19:00Z</dcterms:modified>
</cp:coreProperties>
</file>