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6A" w:rsidRPr="00FC008E" w:rsidRDefault="005D316A" w:rsidP="005D316A">
      <w:pPr>
        <w:shd w:val="clear" w:color="auto" w:fill="FFFFFF"/>
        <w:jc w:val="center"/>
        <w:rPr>
          <w:b/>
          <w:kern w:val="36"/>
          <w:sz w:val="18"/>
          <w:szCs w:val="18"/>
          <w:lang w:val="uk-UA"/>
        </w:rPr>
      </w:pPr>
      <w:proofErr w:type="spellStart"/>
      <w:r w:rsidRPr="00FC008E">
        <w:rPr>
          <w:b/>
          <w:kern w:val="36"/>
          <w:sz w:val="18"/>
          <w:szCs w:val="18"/>
        </w:rPr>
        <w:t>Напрями</w:t>
      </w:r>
      <w:proofErr w:type="spellEnd"/>
      <w:r w:rsidRPr="00FC008E">
        <w:rPr>
          <w:b/>
          <w:kern w:val="36"/>
          <w:sz w:val="18"/>
          <w:szCs w:val="18"/>
        </w:rPr>
        <w:t xml:space="preserve"> </w:t>
      </w:r>
      <w:proofErr w:type="spellStart"/>
      <w:r w:rsidRPr="00FC008E">
        <w:rPr>
          <w:b/>
          <w:kern w:val="36"/>
          <w:sz w:val="18"/>
          <w:szCs w:val="18"/>
        </w:rPr>
        <w:t>діяльності</w:t>
      </w:r>
      <w:proofErr w:type="spellEnd"/>
      <w:r w:rsidRPr="00FC008E">
        <w:rPr>
          <w:b/>
          <w:kern w:val="36"/>
          <w:sz w:val="18"/>
          <w:szCs w:val="18"/>
        </w:rPr>
        <w:t xml:space="preserve"> та заходи </w:t>
      </w:r>
      <w:r w:rsidRPr="00FC008E">
        <w:rPr>
          <w:b/>
          <w:kern w:val="36"/>
          <w:sz w:val="18"/>
          <w:szCs w:val="18"/>
          <w:lang w:val="uk-UA"/>
        </w:rPr>
        <w:t>Програми</w:t>
      </w:r>
    </w:p>
    <w:p w:rsidR="005D316A" w:rsidRPr="00FC008E" w:rsidRDefault="005D316A" w:rsidP="005D316A">
      <w:pPr>
        <w:shd w:val="clear" w:color="auto" w:fill="FFFFFF"/>
        <w:jc w:val="center"/>
        <w:rPr>
          <w:b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 xml:space="preserve">соціальної  підтримки </w:t>
      </w:r>
      <w:proofErr w:type="spellStart"/>
      <w:r w:rsidRPr="00FC008E">
        <w:rPr>
          <w:b/>
          <w:sz w:val="18"/>
          <w:szCs w:val="18"/>
          <w:lang w:val="uk-UA"/>
        </w:rPr>
        <w:t>малозахищених</w:t>
      </w:r>
      <w:proofErr w:type="spellEnd"/>
      <w:r w:rsidRPr="00FC008E">
        <w:rPr>
          <w:b/>
          <w:sz w:val="18"/>
          <w:szCs w:val="18"/>
          <w:lang w:val="uk-UA"/>
        </w:rPr>
        <w:t xml:space="preserve"> верств громадян </w:t>
      </w:r>
      <w:proofErr w:type="spellStart"/>
      <w:r w:rsidRPr="00FC008E">
        <w:rPr>
          <w:b/>
          <w:sz w:val="18"/>
          <w:szCs w:val="18"/>
          <w:lang w:val="uk-UA"/>
        </w:rPr>
        <w:t>Нагірянської</w:t>
      </w:r>
      <w:proofErr w:type="spellEnd"/>
      <w:r w:rsidRPr="00FC008E">
        <w:rPr>
          <w:b/>
          <w:sz w:val="18"/>
          <w:szCs w:val="18"/>
          <w:lang w:val="uk-UA"/>
        </w:rPr>
        <w:t xml:space="preserve"> сільської ради</w:t>
      </w:r>
    </w:p>
    <w:p w:rsidR="005D316A" w:rsidRPr="00FC008E" w:rsidRDefault="005D316A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proofErr w:type="spellStart"/>
      <w:r w:rsidRPr="00FC008E">
        <w:rPr>
          <w:b/>
          <w:sz w:val="18"/>
          <w:szCs w:val="18"/>
          <w:u w:val="single"/>
          <w:lang w:val="uk-UA"/>
        </w:rPr>
        <w:t>„Турбота</w:t>
      </w:r>
      <w:proofErr w:type="spellEnd"/>
      <w:r w:rsidRPr="00FC008E">
        <w:rPr>
          <w:b/>
          <w:sz w:val="18"/>
          <w:szCs w:val="18"/>
          <w:u w:val="single"/>
          <w:lang w:val="uk-UA"/>
        </w:rPr>
        <w:t>”_</w:t>
      </w:r>
      <w:r w:rsidRPr="00FC008E">
        <w:rPr>
          <w:b/>
          <w:iCs/>
          <w:color w:val="000000"/>
          <w:spacing w:val="2"/>
          <w:sz w:val="18"/>
          <w:szCs w:val="18"/>
          <w:u w:val="single"/>
          <w:lang w:val="uk-UA"/>
        </w:rPr>
        <w:t xml:space="preserve">  на 2021-2023 роки</w:t>
      </w:r>
    </w:p>
    <w:p w:rsidR="005D316A" w:rsidRPr="00FC008E" w:rsidRDefault="005D316A" w:rsidP="005D316A">
      <w:pPr>
        <w:shd w:val="clear" w:color="auto" w:fill="FFFFFF"/>
        <w:jc w:val="center"/>
        <w:rPr>
          <w:snapToGrid w:val="0"/>
          <w:sz w:val="18"/>
          <w:szCs w:val="18"/>
          <w:lang w:val="uk-UA"/>
        </w:rPr>
      </w:pPr>
      <w:r w:rsidRPr="00FC008E">
        <w:rPr>
          <w:snapToGrid w:val="0"/>
          <w:sz w:val="18"/>
          <w:szCs w:val="18"/>
        </w:rPr>
        <w:t>(</w:t>
      </w:r>
      <w:proofErr w:type="spellStart"/>
      <w:r w:rsidRPr="00FC008E">
        <w:rPr>
          <w:snapToGrid w:val="0"/>
          <w:sz w:val="18"/>
          <w:szCs w:val="18"/>
        </w:rPr>
        <w:t>назва</w:t>
      </w:r>
      <w:proofErr w:type="spellEnd"/>
      <w:r w:rsidRPr="00FC008E">
        <w:rPr>
          <w:snapToGrid w:val="0"/>
          <w:sz w:val="18"/>
          <w:szCs w:val="18"/>
        </w:rPr>
        <w:t xml:space="preserve"> </w:t>
      </w:r>
      <w:proofErr w:type="spellStart"/>
      <w:r w:rsidRPr="00FC008E">
        <w:rPr>
          <w:snapToGrid w:val="0"/>
          <w:sz w:val="18"/>
          <w:szCs w:val="18"/>
        </w:rPr>
        <w:t>програми</w:t>
      </w:r>
      <w:proofErr w:type="spellEnd"/>
      <w:r w:rsidRPr="00FC008E">
        <w:rPr>
          <w:snapToGrid w:val="0"/>
          <w:sz w:val="18"/>
          <w:szCs w:val="18"/>
          <w:lang w:val="uk-UA"/>
        </w:rPr>
        <w:t>)</w:t>
      </w:r>
    </w:p>
    <w:tbl>
      <w:tblPr>
        <w:tblpPr w:leftFromText="180" w:rightFromText="180" w:vertAnchor="text" w:horzAnchor="margin" w:tblpXSpec="center" w:tblpY="125"/>
        <w:tblOverlap w:val="never"/>
        <w:tblW w:w="16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21"/>
        <w:gridCol w:w="4162"/>
        <w:gridCol w:w="1249"/>
        <w:gridCol w:w="2223"/>
        <w:gridCol w:w="993"/>
        <w:gridCol w:w="850"/>
        <w:gridCol w:w="694"/>
        <w:gridCol w:w="874"/>
        <w:gridCol w:w="2414"/>
      </w:tblGrid>
      <w:tr w:rsidR="005D316A" w:rsidRPr="00FC008E" w:rsidTr="00F321CA">
        <w:trPr>
          <w:trHeight w:val="693"/>
        </w:trPr>
        <w:tc>
          <w:tcPr>
            <w:tcW w:w="1526" w:type="dxa"/>
            <w:vMerge w:val="restart"/>
            <w:shd w:val="clear" w:color="auto" w:fill="auto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162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249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2223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1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D316A" w:rsidRPr="00FC008E" w:rsidRDefault="005D316A" w:rsidP="00F321CA">
            <w:pPr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2418" w:type="dxa"/>
            <w:gridSpan w:val="3"/>
            <w:shd w:val="clear" w:color="auto" w:fill="auto"/>
          </w:tcPr>
          <w:p w:rsidR="005D316A" w:rsidRPr="00FC008E" w:rsidRDefault="005D316A" w:rsidP="00F321CA">
            <w:pPr>
              <w:tabs>
                <w:tab w:val="center" w:pos="1867"/>
              </w:tabs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Орієнтовні обсяги фінансування (вартість)  , тис. гривень,   у тому числі:</w:t>
            </w:r>
          </w:p>
        </w:tc>
        <w:tc>
          <w:tcPr>
            <w:tcW w:w="2414" w:type="dxa"/>
            <w:vMerge w:val="restart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5D316A" w:rsidRPr="00FC008E" w:rsidTr="00F321CA">
        <w:trPr>
          <w:trHeight w:val="297"/>
        </w:trPr>
        <w:tc>
          <w:tcPr>
            <w:tcW w:w="1526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62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49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5D316A" w:rsidRPr="00FC008E" w:rsidRDefault="005D316A" w:rsidP="00F321CA">
            <w:pPr>
              <w:spacing w:before="100" w:beforeAutospacing="1" w:after="100" w:afterAutospacing="1"/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2023</w:t>
            </w:r>
          </w:p>
        </w:tc>
        <w:tc>
          <w:tcPr>
            <w:tcW w:w="2414" w:type="dxa"/>
            <w:vMerge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F321CA">
        <w:trPr>
          <w:trHeight w:val="244"/>
        </w:trPr>
        <w:tc>
          <w:tcPr>
            <w:tcW w:w="1526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4162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49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2223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694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74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2414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</w:p>
        </w:tc>
      </w:tr>
      <w:tr w:rsidR="005D316A" w:rsidRPr="005D316A" w:rsidTr="00F321CA">
        <w:trPr>
          <w:trHeight w:val="3901"/>
        </w:trPr>
        <w:tc>
          <w:tcPr>
            <w:tcW w:w="1526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1329"/>
              </w:tabs>
              <w:ind w:right="-16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62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1329"/>
              </w:tabs>
              <w:ind w:right="-16"/>
              <w:jc w:val="center"/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 проводити відшкодування пільг на оплату житлово-комунальних послуг</w:t>
            </w:r>
            <w:r w:rsidRPr="00FC008E">
              <w:rPr>
                <w:sz w:val="18"/>
                <w:szCs w:val="18"/>
                <w:lang w:val="uk-UA"/>
              </w:rPr>
              <w:t xml:space="preserve"> в межах норм споживання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послуг зв’язку реабілітованим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(   50 %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знижки),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особам з числа учасників, добровольців бойових дій АТО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(  50%знижки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та особам на яких поширюється статус ОУН-УПА   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>( 50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Pr="00FC008E">
              <w:rPr>
                <w:b/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%знижки) </w:t>
            </w:r>
            <w:r w:rsidRPr="00FC008E">
              <w:rPr>
                <w:sz w:val="18"/>
                <w:szCs w:val="18"/>
                <w:lang w:val="uk-UA"/>
              </w:rPr>
              <w:t xml:space="preserve">в межах норм споживання;  </w:t>
            </w: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-проводити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відшкодування пільг на оплату   послуг  зв’язку  пільговим категоріям осіб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пунктів,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на яких поширюється дія Законів України </w:t>
            </w:r>
            <w:r w:rsidRPr="00FC008E">
              <w:rPr>
                <w:sz w:val="18"/>
                <w:szCs w:val="18"/>
                <w:lang w:val="uk-UA"/>
              </w:rPr>
              <w:t>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«Про соціальний і правовий захист військовослужбовців та членів їх сімей», «Про охорону дитинства».</w:t>
            </w:r>
          </w:p>
        </w:tc>
        <w:tc>
          <w:tcPr>
            <w:tcW w:w="1249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</w:t>
            </w: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223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993" w:type="dxa"/>
            <w:shd w:val="clear" w:color="auto" w:fill="auto"/>
          </w:tcPr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</w:tc>
        <w:tc>
          <w:tcPr>
            <w:tcW w:w="850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694" w:type="dxa"/>
            <w:shd w:val="clear" w:color="auto" w:fill="auto"/>
          </w:tcPr>
          <w:p w:rsidR="005D316A" w:rsidRPr="00FC008E" w:rsidRDefault="005D316A" w:rsidP="00F321CA">
            <w:pPr>
              <w:ind w:right="37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874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658"/>
              </w:tabs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10,0</w:t>
            </w: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sz w:val="18"/>
                <w:szCs w:val="18"/>
                <w:lang w:val="uk-UA"/>
              </w:rPr>
              <w:t>4,0</w:t>
            </w:r>
          </w:p>
        </w:tc>
        <w:tc>
          <w:tcPr>
            <w:tcW w:w="2414" w:type="dxa"/>
            <w:shd w:val="clear" w:color="auto" w:fill="auto"/>
          </w:tcPr>
          <w:p w:rsidR="005D316A" w:rsidRPr="00FC008E" w:rsidRDefault="005D316A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Зменшення видатків на оплату житлово-комунальних послуг і природного газу, послуг зв’язку </w:t>
            </w:r>
            <w:r w:rsidRPr="00FC008E">
              <w:rPr>
                <w:sz w:val="18"/>
                <w:szCs w:val="18"/>
                <w:lang w:val="uk-UA"/>
              </w:rPr>
              <w:t xml:space="preserve">колишнім політичним в’язням, репресованим,   воякам УПА та 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особам з числа учасників-добровольців </w:t>
            </w:r>
          </w:p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бойових дій АТО</w:t>
            </w:r>
            <w:r w:rsidRPr="00FC008E">
              <w:rPr>
                <w:sz w:val="18"/>
                <w:szCs w:val="18"/>
                <w:lang w:val="uk-UA"/>
              </w:rPr>
              <w:t xml:space="preserve"> </w:t>
            </w:r>
          </w:p>
          <w:p w:rsidR="005D316A" w:rsidRPr="00FC008E" w:rsidRDefault="005D316A" w:rsidP="00F321CA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>Зменшення видатків на оплату послуг зв’язку окремих пільгових категорій (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крім репре</w:t>
            </w:r>
            <w:r w:rsidRPr="00FC008E">
              <w:rPr>
                <w:sz w:val="18"/>
                <w:szCs w:val="18"/>
                <w:lang w:val="uk-UA"/>
              </w:rPr>
              <w:t>сованих ,</w:t>
            </w:r>
            <w:r w:rsidRPr="00FC008E"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sz w:val="18"/>
                <w:szCs w:val="18"/>
                <w:lang w:val="uk-UA"/>
              </w:rPr>
              <w:t>осіб з числа учасників-добровольців  бойових дій АТО)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відповідно до  законодавчих актів.</w:t>
            </w:r>
            <w:r w:rsidRPr="00FC008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F321CA">
        <w:trPr>
          <w:trHeight w:val="1378"/>
        </w:trPr>
        <w:tc>
          <w:tcPr>
            <w:tcW w:w="1526" w:type="dxa"/>
            <w:shd w:val="clear" w:color="auto" w:fill="auto"/>
          </w:tcPr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Замінити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721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62" w:type="dxa"/>
            <w:shd w:val="clear" w:color="auto" w:fill="auto"/>
          </w:tcPr>
          <w:p w:rsidR="005D316A" w:rsidRPr="00FC008E" w:rsidRDefault="005D316A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ради;</w:t>
            </w:r>
          </w:p>
        </w:tc>
        <w:tc>
          <w:tcPr>
            <w:tcW w:w="1249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jc w:val="both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ind w:right="358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D316A" w:rsidRPr="00FC008E" w:rsidRDefault="005D316A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694" w:type="dxa"/>
            <w:shd w:val="clear" w:color="auto" w:fill="auto"/>
          </w:tcPr>
          <w:p w:rsidR="005D316A" w:rsidRPr="00FC008E" w:rsidRDefault="005D316A" w:rsidP="00F321C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74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414" w:type="dxa"/>
            <w:shd w:val="clear" w:color="auto" w:fill="auto"/>
          </w:tcPr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5D316A" w:rsidRPr="00FC008E" w:rsidRDefault="005D316A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5D316A" w:rsidRPr="00FC008E" w:rsidTr="00F321CA">
        <w:trPr>
          <w:trHeight w:val="58"/>
        </w:trPr>
        <w:tc>
          <w:tcPr>
            <w:tcW w:w="1526" w:type="dxa"/>
            <w:shd w:val="clear" w:color="auto" w:fill="auto"/>
          </w:tcPr>
          <w:p w:rsidR="005D316A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b/>
                <w:color w:val="000000"/>
                <w:sz w:val="18"/>
                <w:szCs w:val="18"/>
                <w:lang w:val="uk-UA"/>
              </w:rPr>
              <w:t>На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5D316A" w:rsidRPr="00FC008E" w:rsidRDefault="005D316A" w:rsidP="00F321CA">
            <w:pPr>
              <w:ind w:right="358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21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snapToGrid w:val="0"/>
                <w:color w:val="000000"/>
                <w:sz w:val="18"/>
                <w:szCs w:val="18"/>
                <w:lang w:val="uk-UA"/>
              </w:rPr>
            </w:pPr>
            <w:proofErr w:type="spellStart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Матеріально-</w:t>
            </w:r>
            <w:proofErr w:type="spellEnd"/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 xml:space="preserve"> технічне та фінансове забезпечення</w:t>
            </w:r>
          </w:p>
        </w:tc>
        <w:tc>
          <w:tcPr>
            <w:tcW w:w="4162" w:type="dxa"/>
            <w:shd w:val="clear" w:color="auto" w:fill="auto"/>
          </w:tcPr>
          <w:p w:rsidR="005D316A" w:rsidRPr="00FC008E" w:rsidRDefault="005D316A" w:rsidP="00F321CA">
            <w:pPr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Проводити виплату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 в</w:t>
            </w:r>
            <w:r w:rsidRPr="00FC008E">
              <w:rPr>
                <w:sz w:val="18"/>
                <w:szCs w:val="18"/>
                <w:lang w:val="uk-UA"/>
              </w:rPr>
              <w:t xml:space="preserve"> населених пунктах, що належать до </w:t>
            </w:r>
            <w:proofErr w:type="spellStart"/>
            <w:r w:rsidRPr="00FC008E">
              <w:rPr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sz w:val="18"/>
                <w:szCs w:val="18"/>
                <w:lang w:val="uk-UA"/>
              </w:rPr>
              <w:t xml:space="preserve"> сільської ради;</w:t>
            </w:r>
          </w:p>
        </w:tc>
        <w:tc>
          <w:tcPr>
            <w:tcW w:w="1249" w:type="dxa"/>
            <w:shd w:val="clear" w:color="auto" w:fill="auto"/>
          </w:tcPr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2021-2023 роки</w:t>
            </w: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jc w:val="center"/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2223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>Нагірянської</w:t>
            </w:r>
            <w:proofErr w:type="spellEnd"/>
            <w:r w:rsidRPr="00FC008E">
              <w:rPr>
                <w:bCs/>
                <w:color w:val="000000"/>
                <w:spacing w:val="-2"/>
                <w:sz w:val="18"/>
                <w:szCs w:val="18"/>
                <w:lang w:val="uk-UA"/>
              </w:rPr>
              <w:t xml:space="preserve"> сільської ради</w:t>
            </w:r>
          </w:p>
          <w:p w:rsidR="005D316A" w:rsidRPr="00FC008E" w:rsidRDefault="005D316A" w:rsidP="00F321CA">
            <w:pPr>
              <w:tabs>
                <w:tab w:val="left" w:pos="-108"/>
                <w:tab w:val="left" w:pos="3960"/>
              </w:tabs>
              <w:rPr>
                <w:bCs/>
                <w:color w:val="000000"/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snapToGrid w:val="0"/>
                <w:color w:val="000000"/>
                <w:sz w:val="18"/>
                <w:szCs w:val="18"/>
                <w:lang w:val="uk-UA"/>
              </w:rPr>
              <w:t>сільський бюджет</w:t>
            </w: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snapToGrid w:val="0"/>
                <w:color w:val="000000"/>
                <w:sz w:val="18"/>
                <w:szCs w:val="18"/>
                <w:lang w:val="uk-UA"/>
              </w:rPr>
            </w:pPr>
          </w:p>
          <w:p w:rsidR="005D316A" w:rsidRPr="00FC008E" w:rsidRDefault="005D316A" w:rsidP="00F321CA">
            <w:pPr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D316A" w:rsidRPr="00FC008E" w:rsidRDefault="005D316A" w:rsidP="00F321CA">
            <w:pPr>
              <w:ind w:left="-141" w:firstLine="141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107,39</w:t>
            </w:r>
          </w:p>
        </w:tc>
        <w:tc>
          <w:tcPr>
            <w:tcW w:w="694" w:type="dxa"/>
            <w:shd w:val="clear" w:color="auto" w:fill="auto"/>
          </w:tcPr>
          <w:p w:rsidR="005D316A" w:rsidRPr="00FC008E" w:rsidRDefault="005D316A" w:rsidP="00F321CA">
            <w:pPr>
              <w:ind w:right="-105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74" w:type="dxa"/>
            <w:shd w:val="clear" w:color="auto" w:fill="auto"/>
          </w:tcPr>
          <w:p w:rsidR="005D316A" w:rsidRPr="00FC008E" w:rsidRDefault="005D316A" w:rsidP="00F321CA">
            <w:pPr>
              <w:tabs>
                <w:tab w:val="left" w:pos="597"/>
              </w:tabs>
              <w:ind w:right="202"/>
              <w:rPr>
                <w:color w:val="000000"/>
                <w:sz w:val="18"/>
                <w:szCs w:val="18"/>
                <w:lang w:val="uk-UA"/>
              </w:rPr>
            </w:pPr>
            <w:r w:rsidRPr="00FC008E">
              <w:rPr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2414" w:type="dxa"/>
            <w:shd w:val="clear" w:color="auto" w:fill="auto"/>
          </w:tcPr>
          <w:p w:rsidR="005D316A" w:rsidRPr="00FC008E" w:rsidRDefault="005D316A" w:rsidP="00F321CA">
            <w:pPr>
              <w:rPr>
                <w:sz w:val="18"/>
                <w:szCs w:val="18"/>
                <w:lang w:val="uk-UA"/>
              </w:rPr>
            </w:pPr>
            <w:r w:rsidRPr="00FC008E">
              <w:rPr>
                <w:bCs/>
                <w:iCs/>
                <w:sz w:val="18"/>
                <w:szCs w:val="18"/>
                <w:lang w:val="uk-UA"/>
              </w:rPr>
              <w:t xml:space="preserve">Покращення умов проживання </w:t>
            </w:r>
            <w:r w:rsidRPr="00FC008E">
              <w:rPr>
                <w:sz w:val="18"/>
                <w:szCs w:val="18"/>
                <w:lang w:val="uk-UA"/>
              </w:rPr>
              <w:t xml:space="preserve">   особам, які не здатні до самообслуговування і потребують сторонньої допомоги </w:t>
            </w:r>
          </w:p>
          <w:p w:rsidR="005D316A" w:rsidRPr="00FC008E" w:rsidRDefault="005D316A" w:rsidP="00F321C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5D316A" w:rsidRPr="00FC008E" w:rsidRDefault="005D316A" w:rsidP="005D316A">
      <w:pPr>
        <w:shd w:val="clear" w:color="auto" w:fill="FFFFFF"/>
        <w:ind w:left="567" w:hanging="567"/>
        <w:jc w:val="both"/>
        <w:rPr>
          <w:b/>
          <w:bCs/>
          <w:color w:val="000000"/>
          <w:sz w:val="18"/>
          <w:szCs w:val="18"/>
          <w:lang w:val="uk-UA"/>
        </w:rPr>
      </w:pPr>
      <w:r w:rsidRPr="00FC008E">
        <w:rPr>
          <w:b/>
          <w:sz w:val="18"/>
          <w:szCs w:val="18"/>
          <w:lang w:val="uk-UA"/>
        </w:rPr>
        <w:t xml:space="preserve">        Секретар</w:t>
      </w:r>
      <w:r w:rsidRPr="00FC008E">
        <w:rPr>
          <w:b/>
          <w:sz w:val="18"/>
          <w:szCs w:val="18"/>
        </w:rPr>
        <w:t xml:space="preserve"> </w:t>
      </w:r>
      <w:r w:rsidRPr="00FC008E">
        <w:rPr>
          <w:b/>
          <w:sz w:val="18"/>
          <w:szCs w:val="18"/>
          <w:lang w:val="uk-UA"/>
        </w:rPr>
        <w:t xml:space="preserve">сільської </w:t>
      </w:r>
      <w:r w:rsidRPr="00FC008E">
        <w:rPr>
          <w:b/>
          <w:sz w:val="18"/>
          <w:szCs w:val="18"/>
        </w:rPr>
        <w:t xml:space="preserve"> ради                          </w:t>
      </w:r>
      <w:r w:rsidRPr="00FC008E">
        <w:rPr>
          <w:b/>
          <w:sz w:val="18"/>
          <w:szCs w:val="18"/>
          <w:lang w:val="uk-UA"/>
        </w:rPr>
        <w:t xml:space="preserve">                                                               </w:t>
      </w:r>
      <w:r w:rsidRPr="00FC008E">
        <w:rPr>
          <w:b/>
          <w:sz w:val="18"/>
          <w:szCs w:val="18"/>
        </w:rPr>
        <w:t xml:space="preserve">        </w:t>
      </w:r>
      <w:r w:rsidRPr="00FC008E">
        <w:rPr>
          <w:b/>
          <w:sz w:val="18"/>
          <w:szCs w:val="18"/>
          <w:lang w:val="uk-UA"/>
        </w:rPr>
        <w:t xml:space="preserve">          Галина Буряк</w:t>
      </w:r>
    </w:p>
    <w:p w:rsidR="005D316A" w:rsidRPr="00FC008E" w:rsidRDefault="005D316A" w:rsidP="005D316A">
      <w:pPr>
        <w:rPr>
          <w:sz w:val="18"/>
          <w:szCs w:val="18"/>
          <w:lang w:val="uk-UA"/>
        </w:rPr>
      </w:pPr>
    </w:p>
    <w:p w:rsidR="009C2C36" w:rsidRDefault="009C2C36">
      <w:bookmarkStart w:id="0" w:name="_GoBack"/>
      <w:bookmarkEnd w:id="0"/>
    </w:p>
    <w:sectPr w:rsidR="009C2C36" w:rsidSect="00FC008E">
      <w:pgSz w:w="16838" w:h="11906" w:orient="landscape"/>
      <w:pgMar w:top="720" w:right="720" w:bottom="720" w:left="720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7B2"/>
    <w:rsid w:val="005D316A"/>
    <w:rsid w:val="009C2C36"/>
    <w:rsid w:val="00B6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2021-07-13T07:52:00Z</dcterms:created>
  <dcterms:modified xsi:type="dcterms:W3CDTF">2021-07-13T07:52:00Z</dcterms:modified>
</cp:coreProperties>
</file>