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E0" w:rsidRPr="003B6869" w:rsidRDefault="004A5EE0" w:rsidP="00635EDD">
      <w:pPr>
        <w:tabs>
          <w:tab w:val="left" w:pos="7269"/>
          <w:tab w:val="right" w:pos="9639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">
            <v:imagedata r:id="rId5" o:title=""/>
            <w10:wrap type="topAndBottom" anchorx="page"/>
          </v:shape>
        </w:pict>
      </w:r>
    </w:p>
    <w:p w:rsidR="004A5EE0" w:rsidRPr="003B6869" w:rsidRDefault="004A5EE0" w:rsidP="005B313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A5EE0" w:rsidRPr="003B6869" w:rsidRDefault="004A5EE0" w:rsidP="005B3136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B6869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4A5EE0" w:rsidRPr="003B6869" w:rsidRDefault="004A5EE0" w:rsidP="005B3136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B6869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4A5EE0" w:rsidRPr="003B6869" w:rsidRDefault="004A5EE0" w:rsidP="005B3136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3B6869">
        <w:rPr>
          <w:rFonts w:ascii="Times New Roman" w:hAnsi="Times New Roman"/>
          <w:color w:val="FF0000"/>
          <w:sz w:val="24"/>
          <w:szCs w:val="24"/>
          <w:lang w:val="uk-UA"/>
        </w:rPr>
        <w:t>ВОСЬМЕ  СКЛИКАННЯ</w:t>
      </w:r>
    </w:p>
    <w:p w:rsidR="004A5EE0" w:rsidRPr="003B6869" w:rsidRDefault="004A5EE0" w:rsidP="005B3136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3B6869">
        <w:rPr>
          <w:rFonts w:ascii="Times New Roman" w:hAnsi="Times New Roman"/>
          <w:color w:val="FF0000"/>
          <w:sz w:val="24"/>
          <w:szCs w:val="24"/>
          <w:lang w:val="uk-UA"/>
        </w:rPr>
        <w:t>ШІСТНАДЦЯТА  СЕСІЯ</w:t>
      </w:r>
    </w:p>
    <w:p w:rsidR="004A5EE0" w:rsidRDefault="004A5EE0" w:rsidP="003B6869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B6869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4A5EE0" w:rsidRDefault="004A5EE0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  23  грудня   2021 року                              №  621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5EE0" w:rsidRDefault="004A5EE0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4A5EE0" w:rsidRDefault="004A5EE0" w:rsidP="005B3136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4A5EE0" w:rsidRDefault="004A5EE0" w:rsidP="005B3136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4A5EE0" w:rsidRPr="003B6869" w:rsidRDefault="004A5EE0" w:rsidP="004235D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3B6869">
        <w:rPr>
          <w:rFonts w:ascii="Times New Roman" w:hAnsi="Times New Roman"/>
          <w:b/>
          <w:sz w:val="24"/>
          <w:szCs w:val="24"/>
          <w:lang w:val="uk-UA"/>
        </w:rPr>
        <w:t xml:space="preserve">Про Програму 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відзначення державних свят, </w:t>
      </w:r>
    </w:p>
    <w:p w:rsidR="004A5EE0" w:rsidRPr="003B6869" w:rsidRDefault="004A5EE0" w:rsidP="004235D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ювілейних,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пам’ятних та знаменних дат, </w:t>
      </w:r>
    </w:p>
    <w:p w:rsidR="004A5EE0" w:rsidRPr="003B6869" w:rsidRDefault="004A5EE0" w:rsidP="004235D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заохочення за заслуги перед 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Україною та </w:t>
      </w:r>
    </w:p>
    <w:p w:rsidR="004A5EE0" w:rsidRPr="003B6869" w:rsidRDefault="004A5EE0" w:rsidP="004235DF">
      <w:pPr>
        <w:shd w:val="clear" w:color="auto" w:fill="FFFFFF"/>
        <w:spacing w:after="0" w:line="240" w:lineRule="auto"/>
        <w:rPr>
          <w:rFonts w:ascii="Arial" w:hAnsi="Arial" w:cs="Arial"/>
          <w:b/>
          <w:color w:val="333333"/>
          <w:sz w:val="21"/>
          <w:szCs w:val="21"/>
          <w:lang w:eastAsia="ru-RU"/>
        </w:rPr>
      </w:pP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кою сільською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радою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 на 20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22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3B6869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роки</w:t>
      </w:r>
    </w:p>
    <w:p w:rsidR="004A5EE0" w:rsidRPr="003B6869" w:rsidRDefault="004A5EE0" w:rsidP="003B686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EE0" w:rsidRDefault="004A5EE0" w:rsidP="005B313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A5EE0" w:rsidRDefault="004A5EE0" w:rsidP="005B313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частиною 2 статті 43 Закону України «Про місцеве самоврядування в Україні» та </w:t>
      </w:r>
      <w:r>
        <w:rPr>
          <w:rFonts w:ascii="Times New Roman" w:hAnsi="Times New Roman"/>
          <w:snapToGrid w:val="0"/>
          <w:sz w:val="24"/>
          <w:szCs w:val="24"/>
          <w:lang w:val="uk-UA"/>
        </w:rPr>
        <w:t xml:space="preserve">враховуючи рекомендації та пропозиції постійної комісії </w:t>
      </w:r>
      <w:r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комісії від  21  грудня 2021 року, Нагірянська </w:t>
      </w:r>
      <w:r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4A5EE0" w:rsidRDefault="004A5EE0" w:rsidP="005B313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4A5EE0" w:rsidRDefault="004A5EE0" w:rsidP="005B313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4A5EE0" w:rsidRPr="004235DF" w:rsidRDefault="004A5EE0" w:rsidP="005B313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EE0" w:rsidRDefault="004A5EE0" w:rsidP="004235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Затвердити Програму 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відзначення державних свят, ювілейних,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пам’ятних та знаменних дат, заохочення за заслуги перед 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Україною та Нагірянсь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кою сільською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радою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 на 20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22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роки</w:t>
      </w:r>
      <w:r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4A5EE0" w:rsidRDefault="004A5EE0" w:rsidP="004235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5EE0" w:rsidRPr="004235DF" w:rsidRDefault="004A5EE0" w:rsidP="004235D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ED0C5A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Відділу соціального захисту населення сільської ради забезпечити фінансування Програми в межах коштів, передбачених в Нагірянському сільському бюджеті.</w:t>
      </w:r>
    </w:p>
    <w:p w:rsidR="004A5EE0" w:rsidRDefault="004A5EE0" w:rsidP="005B313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5EE0" w:rsidRDefault="004A5EE0" w:rsidP="00ED0C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Контроль за виконанням рішення покласти на заступника голови Нагірянської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(Йосип ЗІБРІВСЬКИЙ)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 </w:t>
      </w:r>
      <w:r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4A5EE0" w:rsidRDefault="004A5EE0" w:rsidP="00ED0C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5EE0" w:rsidRDefault="004A5EE0" w:rsidP="00ED0C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4A5EE0" w:rsidRDefault="004A5EE0" w:rsidP="005B313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A5EE0" w:rsidRDefault="004A5EE0" w:rsidP="005B3136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/>
        </w:rPr>
      </w:pPr>
    </w:p>
    <w:p w:rsidR="004A5EE0" w:rsidRPr="003B6869" w:rsidRDefault="004A5EE0" w:rsidP="005B313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B6869">
        <w:rPr>
          <w:rFonts w:ascii="Times New Roman" w:hAnsi="Times New Roman"/>
          <w:b/>
          <w:sz w:val="24"/>
          <w:szCs w:val="24"/>
          <w:lang w:val="uk-UA"/>
        </w:rPr>
        <w:t xml:space="preserve">         Сільський голова                                                   Ігор  КІНДРАТ</w:t>
      </w:r>
    </w:p>
    <w:p w:rsidR="004A5EE0" w:rsidRPr="003B6869" w:rsidRDefault="004A5EE0" w:rsidP="005B313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522572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Додаток 1                                                                                                                      </w:t>
      </w:r>
    </w:p>
    <w:p w:rsidR="004A5EE0" w:rsidRDefault="004A5EE0" w:rsidP="0052257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до рішення  Нагірянської </w:t>
      </w:r>
    </w:p>
    <w:p w:rsidR="004A5EE0" w:rsidRDefault="004A5EE0" w:rsidP="0052257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сільської  ради                                                                                           </w:t>
      </w:r>
    </w:p>
    <w:p w:rsidR="004A5EE0" w:rsidRDefault="004A5EE0" w:rsidP="00522572">
      <w:pPr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від     23 грудня 2021 року № 621</w:t>
      </w: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4A5EE0" w:rsidRPr="00522572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522572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Програма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522572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відзначення державних свят, ювілейних,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522572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пам’ятних та знаменних дат, заохочення за заслуги перед 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Україною та Нагірянсь</w:t>
      </w:r>
      <w:r w:rsidRPr="00522572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кою сільською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радою</w:t>
      </w:r>
      <w:r w:rsidRPr="00522572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 20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22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роки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І. Загальна характеристика Програми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10916" w:type="dxa"/>
        <w:tblInd w:w="-7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76"/>
        <w:gridCol w:w="4244"/>
        <w:gridCol w:w="6096"/>
      </w:tblGrid>
      <w:tr w:rsidR="004A5EE0" w:rsidRPr="00F36FAD" w:rsidTr="00B4210F">
        <w:tc>
          <w:tcPr>
            <w:tcW w:w="576" w:type="dxa"/>
            <w:tcBorders>
              <w:top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4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Ініціатор розроблення програми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Сільська рада</w:t>
            </w:r>
          </w:p>
        </w:tc>
      </w:tr>
      <w:tr w:rsidR="004A5EE0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Розробник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Відділ соціального захисту населення Нагірянської сільської ради</w:t>
            </w:r>
          </w:p>
        </w:tc>
      </w:tr>
      <w:tr w:rsidR="004A5EE0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Співрозробники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</w:p>
        </w:tc>
      </w:tr>
      <w:tr w:rsidR="004A5EE0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Відповідальний виконавець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Виконавчий комітет сільської ради</w:t>
            </w:r>
          </w:p>
        </w:tc>
      </w:tr>
      <w:tr w:rsidR="004A5EE0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Учасники програми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</w:p>
        </w:tc>
      </w:tr>
      <w:tr w:rsidR="004A5EE0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Термін реалізації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7504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22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роки</w:t>
            </w:r>
          </w:p>
        </w:tc>
      </w:tr>
      <w:tr w:rsidR="004A5EE0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6.1.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Етапи виконання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DE1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22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роки</w:t>
            </w:r>
          </w:p>
        </w:tc>
      </w:tr>
      <w:tr w:rsidR="004A5EE0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Загальний обсяг фінансових ресурсів, необхідних для реалізації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рограми, всього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5A0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200 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тис. грн.</w:t>
            </w:r>
          </w:p>
        </w:tc>
      </w:tr>
      <w:tr w:rsidR="004A5EE0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7.1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 тому числі бюджетних коштів: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5A0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200 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тис. грн.</w:t>
            </w:r>
          </w:p>
        </w:tc>
      </w:tr>
      <w:tr w:rsidR="004A5EE0" w:rsidRPr="00F36FAD" w:rsidTr="00B4210F">
        <w:trPr>
          <w:trHeight w:val="313"/>
        </w:trPr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 з них коштів сільського бюджету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5A0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200 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тис. грн.</w:t>
            </w:r>
          </w:p>
        </w:tc>
      </w:tr>
      <w:tr w:rsidR="004A5EE0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Основні джерела фінансування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4B3906" w:rsidRDefault="004A5EE0" w:rsidP="00B42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Сільський бюджет</w:t>
            </w:r>
          </w:p>
        </w:tc>
      </w:tr>
    </w:tbl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ІІ. Визначення проблеми, на розв’язання якої спрямована Програма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bookmarkStart w:id="1" w:name="16"/>
      <w:bookmarkEnd w:id="1"/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Нагірянська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сільська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рада Чортківського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району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Тернопільської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області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відповідно до встановленого порядку бере участь у відзначенні свят державного,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місцевого значення, пам’ятних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ювілейних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дат, історичних подій.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У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Нагірянській сільській раді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активно відбувається розвиток громадянського суспільства, здійснюються заходи, пов'язані із заохоченням, відзначенням та стимулюванням окремих громадян, підприємств, установ та організацій, що мають трудові та інші заслуги перед громадою населених пун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ктів сільської ради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та Україною. Це потребує систематизації таких заходів, виділення бюджетних асигнувань відповідному їх розпорядникові.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ІІІ. Мета Програми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42B85" w:rsidRDefault="004A5EE0" w:rsidP="0075048B">
      <w:pPr>
        <w:shd w:val="clear" w:color="auto" w:fill="FFFFFF"/>
        <w:spacing w:before="105" w:after="0" w:line="240" w:lineRule="auto"/>
        <w:ind w:left="225" w:right="225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Метою Програми є забезпечення належної організації відзначення свят державного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значення,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пам’ятних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ювілейних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дат,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історичних подій. Поглиблення взаємодії та співпраці територіальних громад населених пунктів сільської ради, органів місцевого самоврядування у вирішенні завдань та функцій місцевого самоврядування</w:t>
      </w:r>
      <w:r w:rsidRPr="00442B8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  <w:r w:rsidRPr="00442B85">
        <w:rPr>
          <w:rFonts w:ascii="Arial" w:hAnsi="Arial" w:cs="Arial"/>
          <w:sz w:val="21"/>
          <w:szCs w:val="21"/>
          <w:lang w:eastAsia="ru-RU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шанування жителів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сіл ,які входять до Нагірянської сільської ради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, яким виповнилося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90 і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100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років, виховання у молоді шанобливого ставлення до людей похилого віку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4A5EE0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Pr="007C1415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ІV. Шляхи та засоби розв’язання проблеми, строки та етапи виконання Програми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pacing w:val="-5"/>
          <w:sz w:val="24"/>
          <w:szCs w:val="24"/>
          <w:bdr w:val="none" w:sz="0" w:space="0" w:color="auto" w:frame="1"/>
          <w:lang w:eastAsia="ru-RU"/>
        </w:rPr>
        <w:t>Реалізація завдань Програми є можливою шляхом проведення таких о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сновних заходів:</w:t>
      </w:r>
    </w:p>
    <w:p w:rsidR="004A5EE0" w:rsidRPr="004B3906" w:rsidRDefault="004A5EE0" w:rsidP="0075048B">
      <w:pPr>
        <w:shd w:val="clear" w:color="auto" w:fill="FFFFFF"/>
        <w:spacing w:after="0" w:line="240" w:lineRule="auto"/>
        <w:ind w:left="225" w:right="225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Відзначення державних свят та інших подій держави, які встановлені актами Президента України, Кабінету Міністрів України, Верховної Ради України.</w:t>
      </w:r>
    </w:p>
    <w:p w:rsidR="004A5EE0" w:rsidRPr="004B3906" w:rsidRDefault="004A5EE0" w:rsidP="0075048B">
      <w:pPr>
        <w:shd w:val="clear" w:color="auto" w:fill="FFFFFF"/>
        <w:spacing w:after="0" w:line="240" w:lineRule="auto"/>
        <w:ind w:left="225" w:right="225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Відзначення свят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державного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рівня, дат та подій, які проводитимуться відповідно до розпоряджень голови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сільської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r w:rsidRPr="0040445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рішень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кої сільської ради.</w:t>
      </w:r>
    </w:p>
    <w:p w:rsidR="004A5EE0" w:rsidRPr="0075048B" w:rsidRDefault="004A5EE0" w:rsidP="005A047D">
      <w:pPr>
        <w:shd w:val="clear" w:color="auto" w:fill="FFFFFF"/>
        <w:spacing w:after="0" w:line="240" w:lineRule="auto"/>
        <w:ind w:right="225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V. Основні завдання Програми та результативні показники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Основними завданнями реалізації Програми є організація на належному рівні та проведення заходів із відзна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чення свят державного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значення,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пам’ятних дат, історичних подій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4A5EE0" w:rsidRDefault="004A5EE0" w:rsidP="004B390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Відбуватиметься також нагородження почесними грамотами та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грошовими </w:t>
      </w:r>
      <w:r w:rsidRPr="00442B8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нагородами 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жителів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Нагірянської сільської ради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, яким виповнилося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90 і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100 років</w:t>
      </w:r>
      <w:r w:rsidRPr="00442B85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D6E2A">
        <w:rPr>
          <w:rFonts w:ascii="Arial" w:hAnsi="Arial" w:cs="Arial"/>
          <w:shd w:val="clear" w:color="auto" w:fill="FFFFFF"/>
        </w:rPr>
        <w:t xml:space="preserve"> </w:t>
      </w:r>
    </w:p>
    <w:p w:rsidR="004A5EE0" w:rsidRPr="00E32963" w:rsidRDefault="004A5EE0" w:rsidP="004B3906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громадян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Нагірянсь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кої сільської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ради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ювілейних дат, державних та професійних свят, пам’ятних та знаменних дат, за багаторічну сумлінну працю, активну уч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асть у громадському житті, тощо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VI. Напрями діяльності і заходи Програми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Напрями діяльності та заходи Програми відзначе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ння державних,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професійних свят, ювілейних дат, заохочення за заслуги перед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Нагірянською сільською радою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наведені у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додатку №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1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VII. Строки та етапи виконання Програми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Програма реалізовуватиметься впродовж 20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21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років.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Виконання визначених Програмою завдань здійснюється шляхом реалізації заходів із відзначення свят державного,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місцевого значення, па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м’ятних дат, історичних подій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У разі потреби до Програми вносяться зміни згідно із встановленим порядком.</w:t>
      </w:r>
    </w:p>
    <w:p w:rsidR="004A5EE0" w:rsidRPr="005A047D" w:rsidRDefault="004A5EE0" w:rsidP="005A047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Default="004A5EE0" w:rsidP="005A047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VIII. Система контролю та звітування за ходом виконання Програми</w:t>
      </w: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Pr="005A047D" w:rsidRDefault="004A5EE0" w:rsidP="005A047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Pr="004B3906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Координація та контроль за виконанням Програми покладається на виконавчий комітет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Нагірянської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сільської ради (головний розпорядник коштів). Структурні відділи сільської ради, які є відповідальними за виконання запланованих заходів Програми, забезпечують їх реалізацію в повному обсязі у визначені терміни, складають кошторис кожного заходу та подають відповідні документи для проведення оплати сільською радою.</w:t>
      </w:r>
    </w:p>
    <w:p w:rsidR="004A5EE0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Pr="00E32963" w:rsidRDefault="004A5EE0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Pr="005A047D" w:rsidRDefault="004A5EE0" w:rsidP="005A047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  <w:r>
        <w:rPr>
          <w:rFonts w:ascii="Arial" w:hAnsi="Arial" w:cs="Arial"/>
          <w:color w:val="333333"/>
          <w:sz w:val="21"/>
          <w:szCs w:val="21"/>
          <w:lang w:val="uk-UA" w:eastAsia="ru-RU"/>
        </w:rPr>
        <w:t xml:space="preserve">                    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Секретар сільської ради                                      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Галина Буряк</w:t>
      </w:r>
    </w:p>
    <w:p w:rsidR="004A5EE0" w:rsidRPr="004B3906" w:rsidRDefault="004A5EE0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4A5EE0" w:rsidRDefault="004A5EE0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Default="004A5EE0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Default="004A5EE0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Default="004A5EE0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Default="004A5EE0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Default="004A5EE0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Pr="00635EDD" w:rsidRDefault="004A5EE0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4A5EE0" w:rsidRPr="00522572" w:rsidRDefault="004A5EE0" w:rsidP="004B3906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4A5EE0" w:rsidRPr="00522572" w:rsidRDefault="004A5EE0" w:rsidP="00522572">
      <w:pPr>
        <w:shd w:val="clear" w:color="auto" w:fill="F9F9F0"/>
        <w:spacing w:after="150" w:line="315" w:lineRule="atLeast"/>
        <w:rPr>
          <w:rFonts w:ascii="Times New Roman" w:hAnsi="Times New Roman"/>
          <w:color w:val="252121"/>
          <w:sz w:val="24"/>
          <w:szCs w:val="24"/>
          <w:lang w:eastAsia="ru-RU"/>
        </w:rPr>
      </w:pPr>
      <w:r w:rsidRPr="00522572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</w:t>
      </w:r>
      <w:r w:rsidRPr="00522572">
        <w:rPr>
          <w:rFonts w:ascii="Times New Roman" w:hAnsi="Times New Roman"/>
          <w:color w:val="252121"/>
          <w:sz w:val="24"/>
          <w:szCs w:val="24"/>
          <w:lang w:val="uk-UA" w:eastAsia="ru-RU"/>
        </w:rPr>
        <w:t xml:space="preserve"> </w:t>
      </w:r>
      <w:r w:rsidRPr="00522572">
        <w:rPr>
          <w:rFonts w:ascii="Times New Roman" w:hAnsi="Times New Roman"/>
          <w:color w:val="252121"/>
          <w:sz w:val="24"/>
          <w:szCs w:val="24"/>
          <w:lang w:eastAsia="ru-RU"/>
        </w:rPr>
        <w:t>Додаток 1</w:t>
      </w:r>
    </w:p>
    <w:p w:rsidR="004A5EE0" w:rsidRPr="00522572" w:rsidRDefault="004A5EE0" w:rsidP="00522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522572">
        <w:rPr>
          <w:rFonts w:ascii="Times New Roman" w:hAnsi="Times New Roman"/>
          <w:color w:val="252121"/>
          <w:sz w:val="24"/>
          <w:szCs w:val="24"/>
          <w:lang w:val="uk-UA" w:eastAsia="ru-RU"/>
        </w:rPr>
        <w:t xml:space="preserve">                                             до </w:t>
      </w: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Програм</w:t>
      </w: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и</w:t>
      </w:r>
    </w:p>
    <w:p w:rsidR="004A5EE0" w:rsidRPr="00522572" w:rsidRDefault="004A5EE0" w:rsidP="00522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           </w:t>
      </w: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відзначення державних, </w:t>
      </w: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ювілейних, </w:t>
      </w:r>
    </w:p>
    <w:p w:rsidR="004A5EE0" w:rsidRPr="00522572" w:rsidRDefault="004A5EE0" w:rsidP="00522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пам’ятних та знаменних дат, </w:t>
      </w:r>
    </w:p>
    <w:p w:rsidR="004A5EE0" w:rsidRPr="00522572" w:rsidRDefault="004A5EE0" w:rsidP="00522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               заохочення за заслуги перед Україною</w:t>
      </w:r>
    </w:p>
    <w:p w:rsidR="004A5EE0" w:rsidRPr="00522572" w:rsidRDefault="004A5EE0" w:rsidP="00522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         та Нагірянською сільською радою, </w:t>
      </w:r>
    </w:p>
    <w:p w:rsidR="004A5EE0" w:rsidRPr="00522572" w:rsidRDefault="004A5EE0" w:rsidP="00522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              здійснення представницьких та інших </w:t>
      </w:r>
    </w:p>
    <w:p w:rsidR="004A5EE0" w:rsidRPr="00522572" w:rsidRDefault="004A5EE0" w:rsidP="00522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заходів</w:t>
      </w:r>
      <w:r w:rsidRPr="00522572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 </w:t>
      </w: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на 20</w:t>
      </w: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21</w:t>
      </w: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522572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роки</w:t>
      </w:r>
    </w:p>
    <w:p w:rsidR="004A5EE0" w:rsidRPr="00522572" w:rsidRDefault="004A5EE0" w:rsidP="00522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4A5EE0" w:rsidRPr="00522572" w:rsidRDefault="004A5EE0" w:rsidP="007E58B6">
      <w:pPr>
        <w:shd w:val="clear" w:color="auto" w:fill="F9F9F0"/>
        <w:spacing w:after="150" w:line="240" w:lineRule="auto"/>
        <w:jc w:val="center"/>
        <w:rPr>
          <w:rFonts w:ascii="Times New Roman" w:hAnsi="Times New Roman"/>
          <w:b/>
          <w:color w:val="252121"/>
          <w:sz w:val="24"/>
          <w:szCs w:val="24"/>
          <w:lang w:eastAsia="ru-RU"/>
        </w:rPr>
      </w:pPr>
      <w:r w:rsidRPr="00522572">
        <w:rPr>
          <w:rFonts w:ascii="Times New Roman" w:hAnsi="Times New Roman"/>
          <w:b/>
          <w:color w:val="252121"/>
          <w:sz w:val="24"/>
          <w:szCs w:val="24"/>
          <w:lang w:eastAsia="ru-RU"/>
        </w:rPr>
        <w:t>ЗАХОДИ</w:t>
      </w:r>
    </w:p>
    <w:p w:rsidR="004A5EE0" w:rsidRPr="00522572" w:rsidRDefault="004A5EE0" w:rsidP="007E58B6">
      <w:pPr>
        <w:shd w:val="clear" w:color="auto" w:fill="F9F9F0"/>
        <w:spacing w:after="150" w:line="240" w:lineRule="auto"/>
        <w:rPr>
          <w:rFonts w:ascii="Times New Roman" w:hAnsi="Times New Roman"/>
          <w:b/>
          <w:color w:val="252121"/>
          <w:sz w:val="24"/>
          <w:szCs w:val="24"/>
          <w:lang w:val="uk-UA" w:eastAsia="ru-RU"/>
        </w:rPr>
      </w:pPr>
      <w:r w:rsidRPr="00522572">
        <w:rPr>
          <w:rFonts w:ascii="Times New Roman" w:hAnsi="Times New Roman"/>
          <w:b/>
          <w:color w:val="252121"/>
          <w:sz w:val="24"/>
          <w:szCs w:val="24"/>
          <w:lang w:val="uk-UA" w:eastAsia="ru-RU"/>
        </w:rPr>
        <w:t xml:space="preserve">                                                </w:t>
      </w:r>
      <w:r w:rsidRPr="00522572">
        <w:rPr>
          <w:rFonts w:ascii="Times New Roman" w:hAnsi="Times New Roman"/>
          <w:b/>
          <w:color w:val="252121"/>
          <w:sz w:val="24"/>
          <w:szCs w:val="24"/>
          <w:lang w:eastAsia="ru-RU"/>
        </w:rPr>
        <w:t xml:space="preserve"> </w:t>
      </w:r>
      <w:r w:rsidRPr="00522572">
        <w:rPr>
          <w:rFonts w:ascii="Times New Roman" w:hAnsi="Times New Roman"/>
          <w:b/>
          <w:color w:val="252121"/>
          <w:sz w:val="24"/>
          <w:szCs w:val="24"/>
          <w:lang w:val="uk-UA" w:eastAsia="ru-RU"/>
        </w:rPr>
        <w:t>П</w:t>
      </w:r>
      <w:r w:rsidRPr="00522572">
        <w:rPr>
          <w:rFonts w:ascii="Times New Roman" w:hAnsi="Times New Roman"/>
          <w:b/>
          <w:color w:val="252121"/>
          <w:sz w:val="24"/>
          <w:szCs w:val="24"/>
          <w:lang w:eastAsia="ru-RU"/>
        </w:rPr>
        <w:t>рограми на 20</w:t>
      </w:r>
      <w:r w:rsidRPr="00522572">
        <w:rPr>
          <w:rFonts w:ascii="Times New Roman" w:hAnsi="Times New Roman"/>
          <w:b/>
          <w:color w:val="252121"/>
          <w:sz w:val="24"/>
          <w:szCs w:val="24"/>
          <w:lang w:val="uk-UA" w:eastAsia="ru-RU"/>
        </w:rPr>
        <w:t>21-2025</w:t>
      </w:r>
      <w:r w:rsidRPr="00522572">
        <w:rPr>
          <w:rFonts w:ascii="Times New Roman" w:hAnsi="Times New Roman"/>
          <w:b/>
          <w:color w:val="252121"/>
          <w:sz w:val="24"/>
          <w:szCs w:val="24"/>
          <w:lang w:eastAsia="ru-RU"/>
        </w:rPr>
        <w:t xml:space="preserve"> р</w:t>
      </w:r>
      <w:r w:rsidRPr="00522572">
        <w:rPr>
          <w:rFonts w:ascii="Times New Roman" w:hAnsi="Times New Roman"/>
          <w:b/>
          <w:color w:val="252121"/>
          <w:sz w:val="24"/>
          <w:szCs w:val="24"/>
          <w:lang w:val="uk-UA" w:eastAsia="ru-RU"/>
        </w:rPr>
        <w:t>оки</w:t>
      </w:r>
    </w:p>
    <w:p w:rsidR="004A5EE0" w:rsidRPr="00522572" w:rsidRDefault="004A5EE0" w:rsidP="004B3906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4A5EE0" w:rsidRPr="00522572" w:rsidRDefault="004A5EE0" w:rsidP="004B3906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tbl>
      <w:tblPr>
        <w:tblW w:w="11057" w:type="dxa"/>
        <w:tblInd w:w="-10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66"/>
        <w:gridCol w:w="5812"/>
        <w:gridCol w:w="4679"/>
      </w:tblGrid>
      <w:tr w:rsidR="004A5EE0" w:rsidRPr="00522572" w:rsidTr="007E58B6">
        <w:tc>
          <w:tcPr>
            <w:tcW w:w="2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6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21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Термін виконання</w:t>
            </w:r>
          </w:p>
        </w:tc>
      </w:tr>
      <w:tr w:rsidR="004A5EE0" w:rsidRPr="00522572" w:rsidTr="007E58B6"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Здійснювати привітання зі святами учасників ВВВ, </w:t>
            </w: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учасникам </w:t>
            </w: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бойових дій</w:t>
            </w: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, афганцям , чонобильцям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На протязі року</w:t>
            </w:r>
          </w:p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До свят</w:t>
            </w:r>
          </w:p>
        </w:tc>
      </w:tr>
      <w:tr w:rsidR="004A5EE0" w:rsidRPr="00522572" w:rsidTr="007E58B6">
        <w:trPr>
          <w:trHeight w:val="897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6D6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Надавати матеріальну допомогу </w:t>
            </w: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учасникам ВВВ та іншим категоріям</w:t>
            </w: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На протязі року</w:t>
            </w:r>
          </w:p>
        </w:tc>
      </w:tr>
      <w:tr w:rsidR="004A5EE0" w:rsidRPr="00522572" w:rsidTr="007E58B6">
        <w:trPr>
          <w:trHeight w:val="196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Проведення чаювання до свят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Різдво</w:t>
            </w:r>
          </w:p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8 березня</w:t>
            </w:r>
          </w:p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24 серпня День незалежності</w:t>
            </w:r>
          </w:p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1 жовтня День людей похилого віку</w:t>
            </w:r>
          </w:p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3 грудня День інваліда</w:t>
            </w:r>
          </w:p>
        </w:tc>
      </w:tr>
      <w:tr w:rsidR="004A5EE0" w:rsidRPr="00522572" w:rsidTr="007E58B6"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Проведення обідів до свят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9 травня</w:t>
            </w:r>
          </w:p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14 жовтня День захисника України</w:t>
            </w:r>
          </w:p>
        </w:tc>
      </w:tr>
      <w:tr w:rsidR="004A5EE0" w:rsidRPr="00522572" w:rsidTr="007E58B6"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Поздоровлення ювілярів учасників ВВВ</w:t>
            </w: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АТО</w:t>
            </w: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Днем народження</w:t>
            </w: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(надання грошової допомоги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На протязі року</w:t>
            </w:r>
          </w:p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в дні свят</w:t>
            </w:r>
          </w:p>
        </w:tc>
      </w:tr>
      <w:tr w:rsidR="004A5EE0" w:rsidRPr="00522572" w:rsidTr="007E58B6"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7E5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Проведення святкових концертів та вогників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На протязі року</w:t>
            </w:r>
          </w:p>
          <w:p w:rsidR="004A5EE0" w:rsidRPr="00522572" w:rsidRDefault="004A5EE0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72">
              <w:rPr>
                <w:rFonts w:ascii="Times New Roman" w:hAnsi="Times New Roman"/>
                <w:sz w:val="24"/>
                <w:szCs w:val="24"/>
                <w:lang w:eastAsia="ru-RU"/>
              </w:rPr>
              <w:t>в дні свят</w:t>
            </w:r>
          </w:p>
        </w:tc>
      </w:tr>
    </w:tbl>
    <w:p w:rsidR="004A5EE0" w:rsidRPr="00522572" w:rsidRDefault="004A5EE0">
      <w:pPr>
        <w:rPr>
          <w:rFonts w:ascii="Times New Roman" w:hAnsi="Times New Roman"/>
          <w:sz w:val="24"/>
          <w:szCs w:val="24"/>
        </w:rPr>
      </w:pPr>
    </w:p>
    <w:sectPr w:rsidR="004A5EE0" w:rsidRPr="00522572" w:rsidSect="005225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379E5"/>
    <w:multiLevelType w:val="multilevel"/>
    <w:tmpl w:val="1A88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916399"/>
    <w:multiLevelType w:val="multilevel"/>
    <w:tmpl w:val="4DF8B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72C4A3A"/>
    <w:multiLevelType w:val="multilevel"/>
    <w:tmpl w:val="CC961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1B6"/>
    <w:rsid w:val="000B1E84"/>
    <w:rsid w:val="00111CFC"/>
    <w:rsid w:val="00204C1D"/>
    <w:rsid w:val="00310448"/>
    <w:rsid w:val="00334D02"/>
    <w:rsid w:val="00373A87"/>
    <w:rsid w:val="003B061A"/>
    <w:rsid w:val="003B6869"/>
    <w:rsid w:val="00404455"/>
    <w:rsid w:val="004235DF"/>
    <w:rsid w:val="00442B85"/>
    <w:rsid w:val="004A5EE0"/>
    <w:rsid w:val="004B3906"/>
    <w:rsid w:val="004C52C7"/>
    <w:rsid w:val="00522572"/>
    <w:rsid w:val="005700E1"/>
    <w:rsid w:val="005A047D"/>
    <w:rsid w:val="005B3136"/>
    <w:rsid w:val="005C5176"/>
    <w:rsid w:val="005D34BE"/>
    <w:rsid w:val="00635EDD"/>
    <w:rsid w:val="00693CA4"/>
    <w:rsid w:val="006D6E2A"/>
    <w:rsid w:val="0075048B"/>
    <w:rsid w:val="00795CB8"/>
    <w:rsid w:val="007C1415"/>
    <w:rsid w:val="007C4EF2"/>
    <w:rsid w:val="007E58B6"/>
    <w:rsid w:val="00855746"/>
    <w:rsid w:val="008A2CFA"/>
    <w:rsid w:val="008D1F56"/>
    <w:rsid w:val="00933437"/>
    <w:rsid w:val="00942625"/>
    <w:rsid w:val="009B71B6"/>
    <w:rsid w:val="00AA1717"/>
    <w:rsid w:val="00AE6053"/>
    <w:rsid w:val="00B4210F"/>
    <w:rsid w:val="00B729CD"/>
    <w:rsid w:val="00BD6758"/>
    <w:rsid w:val="00BE7E36"/>
    <w:rsid w:val="00C027D7"/>
    <w:rsid w:val="00C16886"/>
    <w:rsid w:val="00C71BCA"/>
    <w:rsid w:val="00CF5963"/>
    <w:rsid w:val="00D46840"/>
    <w:rsid w:val="00D77114"/>
    <w:rsid w:val="00DE1E96"/>
    <w:rsid w:val="00E32963"/>
    <w:rsid w:val="00E6347D"/>
    <w:rsid w:val="00E86F5F"/>
    <w:rsid w:val="00E97B49"/>
    <w:rsid w:val="00EA76ED"/>
    <w:rsid w:val="00EB0007"/>
    <w:rsid w:val="00ED0C5A"/>
    <w:rsid w:val="00F0279A"/>
    <w:rsid w:val="00F36FAD"/>
    <w:rsid w:val="00F47885"/>
    <w:rsid w:val="00F77335"/>
    <w:rsid w:val="00F9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88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390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text">
    <w:name w:val="normaltext"/>
    <w:basedOn w:val="Normal"/>
    <w:uiPriority w:val="99"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390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31"/>
    <w:basedOn w:val="Normal"/>
    <w:uiPriority w:val="99"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B3906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3906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104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D6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E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0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0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4</Pages>
  <Words>1181</Words>
  <Characters>6737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25</cp:revision>
  <cp:lastPrinted>2021-12-26T13:11:00Z</cp:lastPrinted>
  <dcterms:created xsi:type="dcterms:W3CDTF">2021-11-29T08:17:00Z</dcterms:created>
  <dcterms:modified xsi:type="dcterms:W3CDTF">2021-12-26T13:11:00Z</dcterms:modified>
</cp:coreProperties>
</file>