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529" w:rsidRPr="00D06BE5" w:rsidRDefault="00FA3529" w:rsidP="00D06BE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</w:p>
    <w:p w:rsidR="00FA3529" w:rsidRPr="00D06BE5" w:rsidRDefault="00FA3529" w:rsidP="00C418BC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FA3529" w:rsidRPr="00D06BE5" w:rsidRDefault="00FA3529" w:rsidP="00D06BE5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FA3529" w:rsidRPr="00D06BE5" w:rsidRDefault="00FA3529" w:rsidP="00C418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FA3529" w:rsidRPr="00D06BE5" w:rsidRDefault="00FA3529" w:rsidP="00736D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ШІСТНАДЦЯТА СЕСІЯ</w:t>
      </w:r>
    </w:p>
    <w:p w:rsidR="00FA3529" w:rsidRPr="00D06BE5" w:rsidRDefault="00FA3529" w:rsidP="00171F00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FA3529" w:rsidRPr="00D06BE5" w:rsidRDefault="00FA3529" w:rsidP="00C418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C418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від   </w:t>
      </w:r>
      <w:r>
        <w:rPr>
          <w:rFonts w:ascii="Times New Roman" w:hAnsi="Times New Roman"/>
          <w:sz w:val="24"/>
          <w:szCs w:val="24"/>
          <w:lang w:val="uk-UA" w:eastAsia="ru-RU"/>
        </w:rPr>
        <w:t>23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  грудня 2021 року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sz w:val="24"/>
          <w:szCs w:val="24"/>
          <w:lang w:val="uk-UA" w:eastAsia="ru-RU"/>
        </w:rPr>
        <w:t>616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529" w:rsidRPr="00D06BE5" w:rsidRDefault="00FA3529" w:rsidP="00C418B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FA3529" w:rsidRPr="00D06BE5" w:rsidRDefault="00FA3529" w:rsidP="00D432A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D432A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06BE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рограми 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підтримки закладів 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первинної медицини, що розташовані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на території Нагірянської сільської 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ради на 2022-2025 роки</w:t>
      </w:r>
    </w:p>
    <w:p w:rsidR="00FA3529" w:rsidRPr="00D06BE5" w:rsidRDefault="00FA3529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D432A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FA3529" w:rsidRPr="00D06BE5" w:rsidRDefault="00FA3529" w:rsidP="008040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>враховуючи пропозиції та рекоме</w:t>
      </w:r>
      <w:r>
        <w:rPr>
          <w:rFonts w:ascii="Times New Roman" w:hAnsi="Times New Roman"/>
          <w:snapToGrid w:val="0"/>
          <w:sz w:val="24"/>
          <w:szCs w:val="24"/>
          <w:lang w:val="uk-UA" w:eastAsia="ru-RU"/>
        </w:rPr>
        <w:t>ндації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 постійної комісії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бюджету та соціально - ек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ономічного  розвитку від  21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грудня 2021 року, Нагірянська 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FA3529" w:rsidRPr="00D06BE5" w:rsidRDefault="00FA3529" w:rsidP="008040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Default="00FA3529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  <w:r w:rsidRPr="00D06BE5">
        <w:rPr>
          <w:rFonts w:ascii="Times New Roman" w:hAnsi="Times New Roman"/>
          <w:b/>
          <w:sz w:val="24"/>
          <w:szCs w:val="24"/>
          <w:lang w:eastAsia="ru-RU"/>
        </w:rPr>
        <w:t> </w:t>
      </w:r>
    </w:p>
    <w:p w:rsidR="00FA3529" w:rsidRDefault="00FA3529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A3529" w:rsidRPr="00D06BE5" w:rsidRDefault="00FA3529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1.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Затвердити Програму фінансової підтримки закладів первинної медицини, що розташовані на території Нагірянсь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кої сільської ради 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на 2022-2025 роки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FA3529" w:rsidRDefault="00FA3529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Default="00FA3529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D06BE5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D06BE5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FA3529" w:rsidRDefault="00FA3529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A3529" w:rsidRPr="00D06BE5" w:rsidRDefault="00FA3529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171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171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FA3529" w:rsidRPr="00D06BE5" w:rsidRDefault="00FA3529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FA3529" w:rsidRPr="00D06BE5" w:rsidRDefault="00FA3529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A3529" w:rsidRPr="00D06BE5" w:rsidRDefault="00FA3529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FA3529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Pr="00D06BE5" w:rsidRDefault="00FA3529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A3529" w:rsidRPr="00D06BE5" w:rsidRDefault="00FA3529" w:rsidP="00567BC1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FA3529" w:rsidRPr="00D06BE5" w:rsidRDefault="00FA3529" w:rsidP="00567BC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до рішення  Нагірянської </w:t>
      </w:r>
    </w:p>
    <w:p w:rsidR="00FA3529" w:rsidRPr="00D06BE5" w:rsidRDefault="00FA3529" w:rsidP="00567BC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сільської  ради                                                                                           </w:t>
      </w:r>
    </w:p>
    <w:p w:rsidR="00FA3529" w:rsidRPr="00D06BE5" w:rsidRDefault="00FA3529" w:rsidP="00B7595E">
      <w:pPr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від    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D06BE5">
        <w:rPr>
          <w:rFonts w:ascii="Times New Roman" w:hAnsi="Times New Roman"/>
          <w:sz w:val="24"/>
          <w:szCs w:val="24"/>
          <w:lang w:val="uk-UA"/>
        </w:rPr>
        <w:t xml:space="preserve"> грудня 2021 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616</w:t>
      </w:r>
    </w:p>
    <w:p w:rsidR="00FA3529" w:rsidRPr="00D06BE5" w:rsidRDefault="00FA3529" w:rsidP="002E5E79">
      <w:pPr>
        <w:shd w:val="clear" w:color="auto" w:fill="FFFFFF"/>
        <w:spacing w:after="16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Програма фінансової підтримки закладів первинної медицини, що розташовані на території Нагірянської сільської ради </w:t>
      </w: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2022 - 2025 роки</w:t>
      </w:r>
    </w:p>
    <w:p w:rsidR="00FA3529" w:rsidRPr="00D06BE5" w:rsidRDefault="00FA3529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Паспорт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tbl>
      <w:tblPr>
        <w:tblW w:w="10632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946"/>
        <w:gridCol w:w="5859"/>
        <w:gridCol w:w="3827"/>
      </w:tblGrid>
      <w:tr w:rsidR="00FA3529" w:rsidRPr="00D06BE5" w:rsidTr="00194B62">
        <w:tc>
          <w:tcPr>
            <w:tcW w:w="9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КНП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51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67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4A6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04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КНП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661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2 -2025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Нагірянський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ий бюджет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36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546 800,00 грн.</w:t>
            </w:r>
          </w:p>
        </w:tc>
      </w:tr>
      <w:tr w:rsidR="00FA3529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51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536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546 800,00 грн.</w:t>
            </w:r>
          </w:p>
        </w:tc>
      </w:tr>
    </w:tbl>
    <w:p w:rsidR="00FA3529" w:rsidRPr="00D06BE5" w:rsidRDefault="00FA3529" w:rsidP="002E5E79">
      <w:pPr>
        <w:shd w:val="clear" w:color="auto" w:fill="FFFFFF"/>
        <w:spacing w:after="0" w:line="240" w:lineRule="auto"/>
        <w:ind w:left="360" w:right="225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1. Загальні положення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закладів первинної медицини, що розташовані на території Нагірянської сільської ради на 2022 - 2025 роки (далі – Програма) розроблена на виконання статті 91, 93, 101 Бюджетного кодексу України, з дотриманням вимог Закону України «Про місцеве самоврядування в Україні» для забезпечення своєчасного та безперервного надання населенню медичних послуг, дасть змогу своєчасно оплачувати видатки за енергоносії установ, що розташовані на території Нагірянської сільської ради.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Мета та завдання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FA3529" w:rsidRPr="00D06BE5" w:rsidRDefault="00FA3529" w:rsidP="00B51BCE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Метою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є:</w:t>
      </w:r>
    </w:p>
    <w:p w:rsidR="00FA3529" w:rsidRPr="00D06BE5" w:rsidRDefault="00FA3529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надання населенню належних медичних послуг;</w:t>
      </w:r>
    </w:p>
    <w:p w:rsidR="00FA3529" w:rsidRPr="00D06BE5" w:rsidRDefault="00FA3529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зниження захворюваності;</w:t>
      </w:r>
    </w:p>
    <w:p w:rsidR="00FA3529" w:rsidRPr="00D06BE5" w:rsidRDefault="00FA3529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Покращення матеріально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технічної бази;</w:t>
      </w:r>
    </w:p>
    <w:p w:rsidR="00FA3529" w:rsidRPr="00D06BE5" w:rsidRDefault="00FA3529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належних умов праці працівників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та пацієнтів;</w:t>
      </w:r>
    </w:p>
    <w:p w:rsidR="00FA3529" w:rsidRPr="00D06BE5" w:rsidRDefault="00FA3529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діяльності закладів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FA3529" w:rsidRPr="00D06BE5" w:rsidRDefault="00FA3529" w:rsidP="000F07A1">
      <w:pPr>
        <w:shd w:val="clear" w:color="auto" w:fill="FFFFFF"/>
        <w:spacing w:after="0" w:line="240" w:lineRule="auto"/>
        <w:ind w:right="225"/>
        <w:rPr>
          <w:rFonts w:ascii="Times New Roman" w:hAnsi="Times New Roman"/>
          <w:sz w:val="24"/>
          <w:szCs w:val="24"/>
          <w:lang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A3529" w:rsidRPr="00D06BE5" w:rsidRDefault="00FA3529" w:rsidP="00E76EE3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left="426" w:right="225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3.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Визначення проблеми, на розв’язання якої спрямована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рограма</w:t>
      </w:r>
    </w:p>
    <w:p w:rsidR="00FA3529" w:rsidRPr="00D06BE5" w:rsidRDefault="00FA3529" w:rsidP="00E3797F">
      <w:pPr>
        <w:pStyle w:val="NoSpacing1"/>
        <w:ind w:firstLine="851"/>
        <w:jc w:val="both"/>
      </w:pPr>
      <w:r w:rsidRPr="00D06BE5">
        <w:t>Світовий досвід, узагальнений в документах ВООЗ, показує, що одним із головних пріоритетів розвитку національної системи охорони здоров’я в умовах дефіциту фінансових і кадрових ресурсів, повинен бути розвиток первинної медико - санітарної допомоги на основі загальної практики - сімейної медицини.</w:t>
      </w:r>
    </w:p>
    <w:p w:rsidR="00FA3529" w:rsidRPr="00D06BE5" w:rsidRDefault="00FA3529" w:rsidP="00E3797F">
      <w:pPr>
        <w:pStyle w:val="NoSpacing1"/>
        <w:ind w:firstLine="851"/>
        <w:jc w:val="both"/>
      </w:pPr>
      <w:r w:rsidRPr="00D06BE5">
        <w:t>Ідею щодо розроблення цієї Програми спонукала нинішня ситуація зміни фінансування первинної ланки охорони здоров’я в рамках реформування медичної галузі та проблеми, які виникли при зміні фінансування закладу. З впровадженням медичної реформи з</w:t>
      </w:r>
      <w:r w:rsidRPr="00D06BE5">
        <w:rPr>
          <w:lang w:val="ru-RU"/>
        </w:rPr>
        <w:t>’</w:t>
      </w:r>
      <w:r w:rsidRPr="00D06BE5">
        <w:t>явилися витрати, які не покриваються державними медичними гарантіями, але проводяться закладами охорони здоров</w:t>
      </w:r>
      <w:r w:rsidRPr="00D06BE5">
        <w:rPr>
          <w:lang w:val="ru-RU"/>
        </w:rPr>
        <w:t>’</w:t>
      </w:r>
      <w:r w:rsidRPr="00D06BE5">
        <w:t>я.</w:t>
      </w:r>
    </w:p>
    <w:p w:rsidR="00FA3529" w:rsidRPr="00D06BE5" w:rsidRDefault="00FA3529" w:rsidP="00E3797F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D06BE5">
        <w:rPr>
          <w:rFonts w:ascii="Times New Roman" w:hAnsi="Times New Roman"/>
          <w:sz w:val="24"/>
          <w:szCs w:val="24"/>
        </w:rPr>
        <w:t>Одним з найгостріших питань діяльності закладу залишається питання фінансування комунальних послуг та енергоносіїв.</w:t>
      </w:r>
    </w:p>
    <w:p w:rsidR="00FA3529" w:rsidRPr="00D06BE5" w:rsidRDefault="00FA3529" w:rsidP="007B6E9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06BE5">
        <w:rPr>
          <w:rFonts w:ascii="Times New Roman" w:hAnsi="Times New Roman"/>
          <w:sz w:val="24"/>
          <w:szCs w:val="24"/>
        </w:rPr>
        <w:t>Таким чином, існує соціально</w:t>
      </w:r>
      <w:r w:rsidRPr="00D06B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>-</w:t>
      </w:r>
      <w:r w:rsidRPr="00D06B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>економічний</w:t>
      </w:r>
      <w:r w:rsidRPr="00D06BE5">
        <w:rPr>
          <w:rFonts w:ascii="Times New Roman" w:hAnsi="Times New Roman"/>
          <w:b/>
          <w:sz w:val="24"/>
          <w:szCs w:val="24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 xml:space="preserve">аспект необхідності реалізації даної </w:t>
      </w:r>
      <w:r w:rsidRPr="00D06BE5">
        <w:rPr>
          <w:rFonts w:ascii="Times New Roman" w:hAnsi="Times New Roman"/>
          <w:sz w:val="24"/>
          <w:szCs w:val="24"/>
          <w:lang w:val="uk-UA"/>
        </w:rPr>
        <w:t>П</w:t>
      </w:r>
      <w:r w:rsidRPr="00D06BE5">
        <w:rPr>
          <w:rFonts w:ascii="Times New Roman" w:hAnsi="Times New Roman"/>
          <w:sz w:val="24"/>
          <w:szCs w:val="24"/>
        </w:rPr>
        <w:t xml:space="preserve">рограми. </w:t>
      </w:r>
    </w:p>
    <w:p w:rsidR="00FA3529" w:rsidRPr="00D06BE5" w:rsidRDefault="00FA3529" w:rsidP="007B6E90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4.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Заходи з реалізації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Реалізація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здійснюється шляхом запровадження заходів, спрямованих на розв’язання проблеми та досягнення мети:</w:t>
      </w:r>
    </w:p>
    <w:p w:rsidR="00FA3529" w:rsidRPr="00D06BE5" w:rsidRDefault="00FA3529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надання закладами первинної медицини фінансово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економічних розрахунків, щодо необхідності виділення коштів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;</w:t>
      </w:r>
    </w:p>
    <w:p w:rsidR="00FA3529" w:rsidRPr="00D06BE5" w:rsidRDefault="00FA3529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FA3529" w:rsidRPr="00D06BE5" w:rsidRDefault="00FA3529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Нагірянської сільською радою про затвердження та фінансування даної Програми;</w:t>
      </w:r>
    </w:p>
    <w:p w:rsidR="00FA3529" w:rsidRPr="00D06BE5" w:rsidRDefault="00FA3529" w:rsidP="00B7595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закладами прийнятого сільською радою рішення та використання виділених коштів за цільовим призначенням.</w:t>
      </w: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FA3529" w:rsidRPr="00D06BE5" w:rsidRDefault="00FA3529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5. Фінансова забезпеченість Програми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Фінансова підтримка закладів первинної медицини здійснюється шляхом надання поточних трансфертів, у вигляді іншої субвенції, за рахунок коштів загального фонду сільського бюджету.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FA3529" w:rsidRPr="00D06BE5" w:rsidRDefault="00FA3529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0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417"/>
        <w:gridCol w:w="1417"/>
        <w:gridCol w:w="1417"/>
        <w:gridCol w:w="1275"/>
      </w:tblGrid>
      <w:tr w:rsidR="00FA3529" w:rsidRPr="00D06BE5" w:rsidTr="00B021C2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F9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FA3529" w:rsidRPr="00D06BE5" w:rsidRDefault="00FA3529" w:rsidP="00F9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F91485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FA3529" w:rsidRPr="00D06BE5" w:rsidRDefault="00FA3529" w:rsidP="00F91485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FA3529" w:rsidRPr="00D06BE5" w:rsidRDefault="00FA3529" w:rsidP="00F91485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FA3529" w:rsidRPr="00D06BE5" w:rsidRDefault="00FA3529" w:rsidP="00F91485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FA3529" w:rsidRPr="00D06BE5" w:rsidTr="00B021C2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E0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Відшкодування видатків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 енергоносії закладів</w:t>
            </w:r>
          </w:p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546,8</w:t>
            </w:r>
          </w:p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134,8</w:t>
            </w:r>
          </w:p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136,0</w:t>
            </w:r>
          </w:p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FA3529" w:rsidRPr="00D06BE5" w:rsidRDefault="00FA3529" w:rsidP="00BE0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140,0   тис.грн.</w:t>
            </w:r>
          </w:p>
        </w:tc>
      </w:tr>
      <w:tr w:rsidR="00FA3529" w:rsidRPr="00D06BE5" w:rsidTr="00B021C2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F91485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546,8</w:t>
            </w:r>
          </w:p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134,8</w:t>
            </w:r>
          </w:p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FA3529" w:rsidRPr="00D06BE5" w:rsidRDefault="00FA3529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FA3529" w:rsidRPr="00D06BE5" w:rsidRDefault="00FA3529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FA3529" w:rsidRPr="00D06BE5" w:rsidRDefault="00FA3529" w:rsidP="00BD516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140,0   тис.грн.</w:t>
            </w:r>
          </w:p>
        </w:tc>
      </w:tr>
    </w:tbl>
    <w:p w:rsidR="00FA3529" w:rsidRPr="00D06BE5" w:rsidRDefault="00FA3529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</w:p>
    <w:p w:rsidR="00FA3529" w:rsidRPr="00D06BE5" w:rsidRDefault="00FA3529" w:rsidP="00B51BCE">
      <w:pPr>
        <w:shd w:val="clear" w:color="auto" w:fill="FFFFFF"/>
        <w:spacing w:after="16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6. Очікувані результати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первинних медичних послуг, забезпечить функціонування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закладів первинної медицини, що знаходяться на території Нагірянської сільської ради, забезпечить належні умови праці працівників та умови медичного обстеження пацієнтів.</w:t>
      </w: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FA3529" w:rsidRPr="00D06BE5" w:rsidRDefault="00FA3529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A3529" w:rsidRPr="00D06BE5" w:rsidRDefault="00FA3529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Контроль та управління виконанням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 </w:t>
      </w:r>
      <w:r w:rsidRPr="00D06BE5">
        <w:rPr>
          <w:rFonts w:ascii="Times New Roman" w:hAnsi="Times New Roman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ab/>
        <w:t xml:space="preserve">Координацію і відповідальність за виконанням Програми несе виконавчий </w:t>
      </w:r>
      <w:bookmarkStart w:id="0" w:name="_GoBack"/>
      <w:bookmarkEnd w:id="0"/>
      <w:r w:rsidRPr="00D06BE5">
        <w:rPr>
          <w:rFonts w:ascii="Times New Roman" w:hAnsi="Times New Roman"/>
          <w:sz w:val="24"/>
          <w:szCs w:val="24"/>
          <w:lang w:val="uk-UA" w:eastAsia="uk-UA"/>
        </w:rPr>
        <w:t>комітет сільської ради, який щорічно звітує перед депутатським корпусом Нагірянської сільської ради.</w:t>
      </w: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A3529" w:rsidRPr="00D06BE5" w:rsidRDefault="00FA3529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FA3529" w:rsidRPr="00D06BE5" w:rsidSect="00B021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378CB"/>
    <w:multiLevelType w:val="multilevel"/>
    <w:tmpl w:val="B0F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2741D"/>
    <w:multiLevelType w:val="multilevel"/>
    <w:tmpl w:val="97AAD0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5B4EB6"/>
    <w:multiLevelType w:val="multilevel"/>
    <w:tmpl w:val="B71409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AA20DE"/>
    <w:multiLevelType w:val="multilevel"/>
    <w:tmpl w:val="24C4C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EFF7B4B"/>
    <w:multiLevelType w:val="multilevel"/>
    <w:tmpl w:val="9A76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3F1"/>
    <w:rsid w:val="000423FD"/>
    <w:rsid w:val="00043A58"/>
    <w:rsid w:val="000D53F1"/>
    <w:rsid w:val="000F07A1"/>
    <w:rsid w:val="00137984"/>
    <w:rsid w:val="00147F20"/>
    <w:rsid w:val="00171F00"/>
    <w:rsid w:val="00194B62"/>
    <w:rsid w:val="001B084F"/>
    <w:rsid w:val="001B4BE4"/>
    <w:rsid w:val="0020686F"/>
    <w:rsid w:val="0024204E"/>
    <w:rsid w:val="00253C2E"/>
    <w:rsid w:val="00281E66"/>
    <w:rsid w:val="002A0D78"/>
    <w:rsid w:val="002D12E0"/>
    <w:rsid w:val="002E5E79"/>
    <w:rsid w:val="00390B56"/>
    <w:rsid w:val="004524AC"/>
    <w:rsid w:val="004662DC"/>
    <w:rsid w:val="004A270F"/>
    <w:rsid w:val="004A64A4"/>
    <w:rsid w:val="004C72DA"/>
    <w:rsid w:val="005058E8"/>
    <w:rsid w:val="005320B2"/>
    <w:rsid w:val="005362F3"/>
    <w:rsid w:val="00567BC1"/>
    <w:rsid w:val="005F1128"/>
    <w:rsid w:val="00602D1F"/>
    <w:rsid w:val="00651483"/>
    <w:rsid w:val="0066198F"/>
    <w:rsid w:val="006937C3"/>
    <w:rsid w:val="00736DB6"/>
    <w:rsid w:val="00743A42"/>
    <w:rsid w:val="0079245B"/>
    <w:rsid w:val="007A6693"/>
    <w:rsid w:val="007B6E90"/>
    <w:rsid w:val="007F63A7"/>
    <w:rsid w:val="0080402A"/>
    <w:rsid w:val="00931F65"/>
    <w:rsid w:val="00943BD8"/>
    <w:rsid w:val="00983EDC"/>
    <w:rsid w:val="009C6A7E"/>
    <w:rsid w:val="00AB1A63"/>
    <w:rsid w:val="00AF1016"/>
    <w:rsid w:val="00AF2DC8"/>
    <w:rsid w:val="00AF7073"/>
    <w:rsid w:val="00B021C2"/>
    <w:rsid w:val="00B32417"/>
    <w:rsid w:val="00B51BCE"/>
    <w:rsid w:val="00B7595E"/>
    <w:rsid w:val="00BD5162"/>
    <w:rsid w:val="00BE0DD8"/>
    <w:rsid w:val="00C40ADA"/>
    <w:rsid w:val="00C418BC"/>
    <w:rsid w:val="00C4628D"/>
    <w:rsid w:val="00C70012"/>
    <w:rsid w:val="00C93379"/>
    <w:rsid w:val="00D06BE5"/>
    <w:rsid w:val="00D1084B"/>
    <w:rsid w:val="00D4229D"/>
    <w:rsid w:val="00D432A2"/>
    <w:rsid w:val="00D458CE"/>
    <w:rsid w:val="00D93508"/>
    <w:rsid w:val="00DA52D6"/>
    <w:rsid w:val="00E12027"/>
    <w:rsid w:val="00E3797F"/>
    <w:rsid w:val="00E74BC9"/>
    <w:rsid w:val="00E76EE3"/>
    <w:rsid w:val="00EF210E"/>
    <w:rsid w:val="00EF6781"/>
    <w:rsid w:val="00F6003C"/>
    <w:rsid w:val="00F91485"/>
    <w:rsid w:val="00FA3529"/>
    <w:rsid w:val="00FD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DC8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BC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1BCE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NoSpacing1">
    <w:name w:val="No Spacing1"/>
    <w:uiPriority w:val="99"/>
    <w:rsid w:val="00E3797F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04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372</TotalTime>
  <Pages>4</Pages>
  <Words>1022</Words>
  <Characters>5828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38</cp:revision>
  <cp:lastPrinted>2021-12-26T12:39:00Z</cp:lastPrinted>
  <dcterms:created xsi:type="dcterms:W3CDTF">2021-02-08T10:09:00Z</dcterms:created>
  <dcterms:modified xsi:type="dcterms:W3CDTF">2021-12-26T12:49:00Z</dcterms:modified>
</cp:coreProperties>
</file>