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7" w:rsidRPr="005F1D74" w:rsidRDefault="00312007" w:rsidP="003120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F1D74">
        <w:rPr>
          <w:b/>
          <w:sz w:val="28"/>
          <w:szCs w:val="28"/>
          <w:lang w:val="uk-UA"/>
        </w:rPr>
        <w:t>Звіт</w:t>
      </w:r>
    </w:p>
    <w:p w:rsidR="00312007" w:rsidRPr="005F1D74" w:rsidRDefault="00312007" w:rsidP="003120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F1D74">
        <w:rPr>
          <w:b/>
          <w:sz w:val="28"/>
          <w:szCs w:val="28"/>
          <w:lang w:val="uk-UA"/>
        </w:rPr>
        <w:t xml:space="preserve">про базове відстеження результативності дії  проекту рішення </w:t>
      </w:r>
      <w:proofErr w:type="spellStart"/>
      <w:r w:rsidRPr="005F1D74">
        <w:rPr>
          <w:b/>
          <w:sz w:val="28"/>
          <w:szCs w:val="28"/>
          <w:lang w:val="uk-UA"/>
        </w:rPr>
        <w:t>Нагірянської</w:t>
      </w:r>
      <w:proofErr w:type="spellEnd"/>
      <w:r w:rsidRPr="005F1D74">
        <w:rPr>
          <w:b/>
          <w:sz w:val="28"/>
          <w:szCs w:val="28"/>
          <w:lang w:val="uk-UA"/>
        </w:rPr>
        <w:t xml:space="preserve"> сільської ради «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Про</w:t>
      </w:r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затвердження</w:t>
      </w:r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Правил</w:t>
      </w:r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благоустрою</w:t>
      </w:r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території</w:t>
      </w:r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сільської</w:t>
      </w:r>
      <w:r w:rsidR="00542706" w:rsidRPr="0054270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42706" w:rsidRPr="00542706">
        <w:rPr>
          <w:rFonts w:hint="eastAsia"/>
          <w:b/>
          <w:bCs/>
          <w:sz w:val="28"/>
          <w:szCs w:val="28"/>
          <w:bdr w:val="none" w:sz="0" w:space="0" w:color="auto" w:frame="1"/>
          <w:lang w:val="uk-UA"/>
        </w:rPr>
        <w:t>ради</w:t>
      </w:r>
      <w:r w:rsidRPr="005F1D74">
        <w:rPr>
          <w:b/>
          <w:bCs/>
          <w:sz w:val="28"/>
          <w:szCs w:val="28"/>
          <w:bdr w:val="none" w:sz="0" w:space="0" w:color="auto" w:frame="1"/>
          <w:lang w:val="uk-UA"/>
        </w:rPr>
        <w:t>»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Базове відстеження результативності дії затвердження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Про</w:t>
      </w:r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затвердження</w:t>
      </w:r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Правил</w:t>
      </w:r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території</w:t>
      </w:r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Нагірянської</w:t>
      </w:r>
      <w:proofErr w:type="spellEnd"/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сільської</w:t>
      </w:r>
      <w:r w:rsidR="00542706" w:rsidRPr="00542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706" w:rsidRPr="00542706">
        <w:rPr>
          <w:rFonts w:ascii="Times New Roman" w:hAnsi="Times New Roman" w:hint="eastAsia"/>
          <w:sz w:val="28"/>
          <w:szCs w:val="28"/>
          <w:lang w:val="uk-UA"/>
        </w:rPr>
        <w:t>ради</w:t>
      </w:r>
      <w:r w:rsidR="00542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здійснюватиметься відповідно до статей 10 і 37 Закону України "Про засади державної регуляторної політики у сфері господарської діяльності".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Назва виконавця заходів відстеження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Головний спеціаліст з економічного розвитку та інвестицій                                                                   </w:t>
      </w:r>
      <w:proofErr w:type="spellStart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Цілі прийняття акта </w:t>
      </w:r>
    </w:p>
    <w:p w:rsid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вдосконалення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нормативної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бази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впровадження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державної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регуляторної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політики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сфері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благоустрою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врегулювання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правовідносин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між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суб’єктами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яких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розповсюджується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дія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регуляторного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акта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створення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умов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захисту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і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відновлення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сприятливого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для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життєдіяльності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як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людини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так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і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суб’єктів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господарювання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середовища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визначення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чітких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вимог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до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організації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роботи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заходів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з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благоустрою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території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міста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Умань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організаціями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установами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закладами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суб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>'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єктами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господарювання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мешканцями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населених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пунктів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їх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прав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обов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>'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язків</w:t>
      </w:r>
      <w:r w:rsid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- захист довкілля;</w:t>
      </w:r>
    </w:p>
    <w:p w:rsid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покращення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санітарного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стану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мікроклімату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території населених пунктів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Нагірянської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сільської ради;</w:t>
      </w:r>
    </w:p>
    <w:p w:rsid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належне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утримання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раціональне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використання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території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населених</w:t>
      </w:r>
      <w:r w:rsidRPr="0054270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542706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пунктів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082D70" w:rsidRDefault="00082D70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збереження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об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>'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єктів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та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елементів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благоустрою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у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тому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числі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зелених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насаджень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їх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раціональне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082D70">
        <w:rPr>
          <w:rFonts w:ascii="Times New Roman" w:hAnsi="Times New Roman" w:hint="eastAsia"/>
          <w:color w:val="000000" w:themeColor="text1"/>
          <w:sz w:val="28"/>
          <w:szCs w:val="28"/>
          <w:lang w:val="uk-UA"/>
        </w:rPr>
        <w:t>використання</w:t>
      </w:r>
      <w:r w:rsidRPr="00082D7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542706" w:rsidRPr="00542706" w:rsidRDefault="00542706" w:rsidP="00542706">
      <w:pPr>
        <w:tabs>
          <w:tab w:val="left" w:pos="1410"/>
        </w:tabs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12007" w:rsidRPr="005F1D74" w:rsidRDefault="00312007" w:rsidP="00542706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Строк виконання заходів відстеження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>На етапі підготовки регуляторного акта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Тип відстеження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Базове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>Методи одержання результатів відстеження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Статистичні </w:t>
      </w:r>
    </w:p>
    <w:p w:rsidR="00312007" w:rsidRPr="005F1D74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b/>
          <w:sz w:val="28"/>
          <w:szCs w:val="28"/>
          <w:lang w:val="uk-UA"/>
        </w:rPr>
        <w:t xml:space="preserve">Дані та припущення, на основі яких відстежувалася результативність </w:t>
      </w:r>
    </w:p>
    <w:p w:rsidR="00082D70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Результативність дії рішення </w:t>
      </w:r>
      <w:proofErr w:type="spellStart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Нагірянської</w:t>
      </w:r>
      <w:proofErr w:type="spellEnd"/>
      <w:r w:rsidRPr="005F1D74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5F1D74">
        <w:rPr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Правил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території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Нагірянської</w:t>
      </w:r>
      <w:proofErr w:type="spellEnd"/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сільської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ради</w:t>
      </w:r>
      <w:r w:rsidRPr="005F1D74">
        <w:rPr>
          <w:rFonts w:ascii="Times New Roman" w:hAnsi="Times New Roman"/>
          <w:sz w:val="28"/>
          <w:szCs w:val="28"/>
          <w:lang w:val="uk-UA"/>
        </w:rPr>
        <w:t>» відстежуватиметься</w:t>
      </w:r>
      <w:r w:rsidR="00082D70">
        <w:rPr>
          <w:rFonts w:asciiTheme="minorHAnsi" w:hAnsiTheme="minorHAnsi"/>
          <w:lang w:val="uk-UA"/>
        </w:rPr>
        <w:t xml:space="preserve"> </w:t>
      </w:r>
      <w:r w:rsidR="00082D70" w:rsidRPr="00082D70">
        <w:rPr>
          <w:rFonts w:ascii="Times New Roman" w:hAnsi="Times New Roman"/>
          <w:sz w:val="28"/>
          <w:lang w:val="uk-UA"/>
        </w:rPr>
        <w:t xml:space="preserve">щодо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кількості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скарг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та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пропозицій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від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мешканців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щодо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порушення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або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поліпшення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стану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="00082D70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кількості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укладених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договорів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про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вивезення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сміття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та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побутових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відходів</w:t>
      </w:r>
      <w:r w:rsidR="00082D70">
        <w:rPr>
          <w:rFonts w:ascii="Times New Roman" w:hAnsi="Times New Roman"/>
          <w:sz w:val="28"/>
          <w:szCs w:val="28"/>
          <w:lang w:val="uk-UA"/>
        </w:rPr>
        <w:t xml:space="preserve">; кількості складених протоколів за правопорушення правил благоустрою ст..152 </w:t>
      </w:r>
      <w:proofErr w:type="spellStart"/>
      <w:r w:rsidR="00082D70">
        <w:rPr>
          <w:rFonts w:ascii="Times New Roman" w:hAnsi="Times New Roman"/>
          <w:sz w:val="28"/>
          <w:szCs w:val="28"/>
          <w:lang w:val="uk-UA"/>
        </w:rPr>
        <w:t>КУпАП</w:t>
      </w:r>
      <w:proofErr w:type="spellEnd"/>
      <w:r w:rsidR="00082D70">
        <w:rPr>
          <w:rFonts w:ascii="Times New Roman" w:hAnsi="Times New Roman"/>
          <w:sz w:val="28"/>
          <w:szCs w:val="28"/>
          <w:lang w:val="uk-UA"/>
        </w:rPr>
        <w:t xml:space="preserve">; розміру надходжень до місцевого бюджету, пов’язаних з дією регуляторного акту, а саме ст..152 </w:t>
      </w:r>
      <w:proofErr w:type="spellStart"/>
      <w:r w:rsidR="00082D70">
        <w:rPr>
          <w:rFonts w:ascii="Times New Roman" w:hAnsi="Times New Roman"/>
          <w:sz w:val="28"/>
          <w:szCs w:val="28"/>
          <w:lang w:val="uk-UA"/>
        </w:rPr>
        <w:t>КУпАП</w:t>
      </w:r>
      <w:proofErr w:type="spellEnd"/>
      <w:r w:rsidRPr="005F1D74">
        <w:rPr>
          <w:rFonts w:ascii="Times New Roman" w:hAnsi="Times New Roman"/>
          <w:sz w:val="28"/>
          <w:szCs w:val="28"/>
          <w:lang w:val="uk-UA"/>
        </w:rPr>
        <w:t>.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F1D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Кількісні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значення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показників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609CA">
        <w:rPr>
          <w:rFonts w:ascii="Times New Roman" w:hAnsi="Times New Roman"/>
          <w:b/>
          <w:sz w:val="28"/>
          <w:szCs w:val="28"/>
        </w:rPr>
        <w:t>результативності</w:t>
      </w:r>
      <w:proofErr w:type="spellEnd"/>
      <w:r w:rsidRPr="003609CA">
        <w:rPr>
          <w:rFonts w:ascii="Times New Roman" w:hAnsi="Times New Roman"/>
          <w:b/>
          <w:sz w:val="28"/>
          <w:szCs w:val="28"/>
        </w:rPr>
        <w:t xml:space="preserve"> акта</w:t>
      </w:r>
      <w:r w:rsidRPr="00195C2F">
        <w:rPr>
          <w:rFonts w:ascii="Times New Roman" w:hAnsi="Times New Roman"/>
          <w:sz w:val="28"/>
          <w:szCs w:val="28"/>
        </w:rPr>
        <w:t xml:space="preserve"> </w:t>
      </w:r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609CA">
        <w:rPr>
          <w:rFonts w:ascii="Times New Roman" w:hAnsi="Times New Roman"/>
          <w:sz w:val="28"/>
          <w:szCs w:val="28"/>
        </w:rPr>
        <w:t xml:space="preserve"> </w:t>
      </w:r>
      <w:r w:rsidRPr="003609CA">
        <w:rPr>
          <w:rFonts w:ascii="Times New Roman" w:hAnsi="Times New Roman"/>
          <w:sz w:val="28"/>
          <w:szCs w:val="28"/>
          <w:lang w:val="uk-UA"/>
        </w:rPr>
        <w:t xml:space="preserve">Кількісні та якісні показники, за якими буде проводитись відстеження результативності регуляторного акта: </w:t>
      </w:r>
    </w:p>
    <w:p w:rsidR="00312007" w:rsidRDefault="00312007" w:rsidP="0054270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609CA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82D70">
        <w:rPr>
          <w:rFonts w:ascii="Times New Roman" w:hAnsi="Times New Roman"/>
          <w:sz w:val="28"/>
          <w:szCs w:val="28"/>
          <w:lang w:val="uk-UA"/>
        </w:rPr>
        <w:t>к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ількість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порушень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>
        <w:rPr>
          <w:rFonts w:ascii="Times New Roman" w:hAnsi="Times New Roman"/>
          <w:sz w:val="28"/>
          <w:szCs w:val="28"/>
          <w:lang w:val="uk-UA"/>
        </w:rPr>
        <w:t>П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равил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які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обчислюються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відповідно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до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кількості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протоколів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про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адміністративні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правопорушення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за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ст</w:t>
      </w:r>
      <w:r w:rsidR="00082D70" w:rsidRPr="00082D70">
        <w:rPr>
          <w:rFonts w:ascii="Times New Roman" w:hAnsi="Times New Roman"/>
          <w:sz w:val="28"/>
          <w:szCs w:val="28"/>
          <w:lang w:val="uk-UA"/>
        </w:rPr>
        <w:t xml:space="preserve">.152 </w:t>
      </w:r>
      <w:proofErr w:type="spellStart"/>
      <w:r w:rsidR="00082D70" w:rsidRPr="00082D70">
        <w:rPr>
          <w:rFonts w:ascii="Times New Roman" w:hAnsi="Times New Roman" w:hint="eastAsia"/>
          <w:sz w:val="28"/>
          <w:szCs w:val="28"/>
          <w:lang w:val="uk-UA"/>
        </w:rPr>
        <w:t>КУпАП</w:t>
      </w:r>
      <w:proofErr w:type="spellEnd"/>
      <w:r w:rsidR="00082D70">
        <w:rPr>
          <w:rFonts w:ascii="Times New Roman" w:hAnsi="Times New Roman"/>
          <w:sz w:val="28"/>
          <w:szCs w:val="28"/>
          <w:lang w:val="uk-UA"/>
        </w:rPr>
        <w:t>;</w:t>
      </w:r>
    </w:p>
    <w:p w:rsidR="00891678" w:rsidRDefault="00891678" w:rsidP="00542706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кількість укладених договорів на вивезення сміття та побутових відходів;</w:t>
      </w:r>
    </w:p>
    <w:p w:rsidR="002133CF" w:rsidRPr="002133CF" w:rsidRDefault="00082D70" w:rsidP="002133CF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розміри</w:t>
      </w:r>
      <w:r w:rsidR="002133CF"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витрачених</w:t>
      </w:r>
      <w:r w:rsidR="002133CF"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коштів</w:t>
      </w:r>
      <w:r w:rsidR="002133CF"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на</w:t>
      </w:r>
      <w:r w:rsidR="002133CF"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утримання</w:t>
      </w:r>
      <w:r w:rsidR="002133CF"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об’єктів</w:t>
      </w:r>
      <w:r w:rsidR="002133CF"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3CF" w:rsidRPr="002133CF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</w:p>
    <w:p w:rsidR="00082D70" w:rsidRPr="0031777D" w:rsidRDefault="002133CF" w:rsidP="00891678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133CF">
        <w:rPr>
          <w:rFonts w:ascii="Times New Roman" w:hAnsi="Times New Roman" w:hint="eastAsia"/>
          <w:sz w:val="28"/>
          <w:szCs w:val="28"/>
          <w:lang w:val="uk-UA"/>
        </w:rPr>
        <w:t>комунальним</w:t>
      </w:r>
      <w:r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678">
        <w:rPr>
          <w:rFonts w:ascii="Times New Roman" w:hAnsi="Times New Roman" w:hint="eastAsia"/>
          <w:sz w:val="28"/>
          <w:szCs w:val="28"/>
          <w:lang w:val="uk-UA"/>
        </w:rPr>
        <w:t>підприємств</w:t>
      </w:r>
      <w:r w:rsidR="00891678">
        <w:rPr>
          <w:rFonts w:ascii="Times New Roman" w:hAnsi="Times New Roman"/>
          <w:sz w:val="28"/>
          <w:szCs w:val="28"/>
          <w:lang w:val="uk-UA"/>
        </w:rPr>
        <w:t>ом</w:t>
      </w:r>
      <w:r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33CF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213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33CF">
        <w:rPr>
          <w:rFonts w:ascii="Times New Roman" w:hAnsi="Times New Roman" w:hint="eastAsia"/>
          <w:sz w:val="28"/>
          <w:szCs w:val="28"/>
          <w:lang w:val="uk-UA"/>
        </w:rPr>
        <w:t>рахунок</w:t>
      </w:r>
      <w:r w:rsidR="00891678">
        <w:rPr>
          <w:rFonts w:ascii="Times New Roman" w:hAnsi="Times New Roman"/>
          <w:sz w:val="28"/>
          <w:szCs w:val="28"/>
          <w:lang w:val="uk-UA"/>
        </w:rPr>
        <w:t xml:space="preserve"> сільського бюджету.</w:t>
      </w:r>
    </w:p>
    <w:p w:rsidR="00891678" w:rsidRPr="00891678" w:rsidRDefault="00891678" w:rsidP="00891678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Лише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шляхом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соціологічного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опитування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можна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отримати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значення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якісних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показників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результативності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проекту</w:t>
      </w:r>
      <w:r w:rsidRPr="00891678">
        <w:rPr>
          <w:rFonts w:ascii="Times New Roman" w:hAnsi="Times New Roman"/>
          <w:sz w:val="28"/>
          <w:szCs w:val="28"/>
          <w:lang w:val="uk-UA"/>
        </w:rPr>
        <w:t>:</w:t>
      </w:r>
    </w:p>
    <w:p w:rsidR="00891678" w:rsidRDefault="00891678" w:rsidP="00891678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підвищення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рівня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території сільської ради;</w:t>
      </w:r>
    </w:p>
    <w:p w:rsidR="00891678" w:rsidRPr="00891678" w:rsidRDefault="00891678" w:rsidP="00891678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забезпечення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чистоти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та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порядку</w:t>
      </w:r>
      <w:r w:rsidRPr="00891678">
        <w:rPr>
          <w:rFonts w:ascii="Times New Roman" w:hAnsi="Times New Roman"/>
          <w:sz w:val="28"/>
          <w:szCs w:val="28"/>
          <w:lang w:val="uk-UA"/>
        </w:rPr>
        <w:t>;</w:t>
      </w:r>
    </w:p>
    <w:p w:rsidR="00891678" w:rsidRPr="00891678" w:rsidRDefault="00891678" w:rsidP="00891678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рівень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регулювання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прав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та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обов’язків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учасників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правовідносин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в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сфері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Pr="00891678">
        <w:rPr>
          <w:rFonts w:ascii="Times New Roman" w:hAnsi="Times New Roman"/>
          <w:sz w:val="28"/>
          <w:szCs w:val="28"/>
          <w:lang w:val="uk-UA"/>
        </w:rPr>
        <w:t>;</w:t>
      </w:r>
    </w:p>
    <w:p w:rsidR="00312007" w:rsidRDefault="00891678" w:rsidP="00891678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чистота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і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порядок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на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об’єктах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благоустрою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за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недодержання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яких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передбачено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адміністративну</w:t>
      </w:r>
      <w:r w:rsidRPr="00891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78">
        <w:rPr>
          <w:rFonts w:ascii="Times New Roman" w:hAnsi="Times New Roman" w:hint="eastAsia"/>
          <w:sz w:val="28"/>
          <w:szCs w:val="28"/>
          <w:lang w:val="uk-UA"/>
        </w:rPr>
        <w:t>відповідальність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312007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7460">
        <w:rPr>
          <w:rFonts w:ascii="Times New Roman" w:hAnsi="Times New Roman"/>
          <w:b/>
          <w:sz w:val="28"/>
          <w:szCs w:val="28"/>
          <w:lang w:val="uk-UA"/>
        </w:rPr>
        <w:t xml:space="preserve">Головний спеціаліст </w:t>
      </w: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7460">
        <w:rPr>
          <w:rFonts w:ascii="Times New Roman" w:hAnsi="Times New Roman"/>
          <w:b/>
          <w:sz w:val="28"/>
          <w:szCs w:val="28"/>
          <w:lang w:val="uk-UA"/>
        </w:rPr>
        <w:t xml:space="preserve">з економічного розвитку </w:t>
      </w:r>
    </w:p>
    <w:p w:rsidR="00312007" w:rsidRPr="00367460" w:rsidRDefault="00312007" w:rsidP="00312007">
      <w:pPr>
        <w:tabs>
          <w:tab w:val="left" w:pos="141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7460">
        <w:rPr>
          <w:rFonts w:ascii="Times New Roman" w:hAnsi="Times New Roman"/>
          <w:b/>
          <w:sz w:val="28"/>
          <w:szCs w:val="28"/>
          <w:lang w:val="uk-UA"/>
        </w:rPr>
        <w:t>та інвестицій                                                                   Ірина БЕРЕЗОВСЬКА</w:t>
      </w:r>
    </w:p>
    <w:p w:rsidR="00312007" w:rsidRPr="0031777D" w:rsidRDefault="00312007" w:rsidP="0031200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4223" w:rsidRPr="00312007" w:rsidRDefault="00114223">
      <w:pPr>
        <w:rPr>
          <w:lang w:val="uk-UA"/>
        </w:rPr>
      </w:pPr>
    </w:p>
    <w:sectPr w:rsidR="00114223" w:rsidRPr="0031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007"/>
    <w:rsid w:val="00082D70"/>
    <w:rsid w:val="00114223"/>
    <w:rsid w:val="002133CF"/>
    <w:rsid w:val="00312007"/>
    <w:rsid w:val="00542706"/>
    <w:rsid w:val="0089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07"/>
    <w:pPr>
      <w:spacing w:after="0" w:line="240" w:lineRule="auto"/>
    </w:pPr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00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42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07"/>
    <w:pPr>
      <w:spacing w:after="0" w:line="240" w:lineRule="auto"/>
    </w:pPr>
    <w:rPr>
      <w:rFonts w:ascii="SkazkaForSerge" w:eastAsia="Times New Roman" w:hAnsi="SkazkaForSerge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00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4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2021-08-18T09:30:00Z</dcterms:created>
  <dcterms:modified xsi:type="dcterms:W3CDTF">2021-08-18T12:23:00Z</dcterms:modified>
</cp:coreProperties>
</file>