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64" w:rsidRDefault="00C01964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0188" w:type="dxa"/>
        <w:tblLook w:val="00A0"/>
      </w:tblPr>
      <w:tblGrid>
        <w:gridCol w:w="3960"/>
      </w:tblGrid>
      <w:tr w:rsidR="00C01964" w:rsidRPr="00BE08C7" w:rsidTr="00E1766F">
        <w:tc>
          <w:tcPr>
            <w:tcW w:w="3960" w:type="dxa"/>
          </w:tcPr>
          <w:p w:rsidR="00C01964" w:rsidRPr="00BE08C7" w:rsidRDefault="00C01964" w:rsidP="00BE08C7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BE08C7">
              <w:rPr>
                <w:rFonts w:ascii="Times New Roman" w:hAnsi="Times New Roman"/>
                <w:lang w:val="uk-UA" w:eastAsia="ru-RU"/>
              </w:rPr>
              <w:t>Додаток 6</w:t>
            </w:r>
          </w:p>
          <w:p w:rsidR="00C01964" w:rsidRPr="00BE08C7" w:rsidRDefault="00C01964" w:rsidP="00BE08C7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BE08C7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BE08C7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C01964" w:rsidRPr="00BE08C7" w:rsidRDefault="00C01964" w:rsidP="00E1766F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ind w:right="-800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BE08C7">
              <w:rPr>
                <w:rFonts w:ascii="Times New Roman" w:hAnsi="Times New Roman"/>
                <w:color w:val="2A2928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                           від  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>17</w:t>
            </w:r>
            <w:r w:rsidRPr="00BE08C7">
              <w:rPr>
                <w:rFonts w:ascii="Times New Roman" w:hAnsi="Times New Roman"/>
                <w:color w:val="2A2928"/>
                <w:lang w:val="uk-UA" w:eastAsia="ru-RU"/>
              </w:rPr>
              <w:t xml:space="preserve">   листопада  2021року №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565</w:t>
            </w:r>
          </w:p>
        </w:tc>
      </w:tr>
    </w:tbl>
    <w:p w:rsidR="00C01964" w:rsidRDefault="00C01964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C01964" w:rsidRPr="00517D48" w:rsidRDefault="00C01964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Зміни до р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озподіл</w:t>
      </w: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у</w:t>
      </w:r>
    </w:p>
    <w:p w:rsidR="00C01964" w:rsidRPr="00AC24B9" w:rsidRDefault="00C01964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C01964" w:rsidRPr="00194F08" w:rsidRDefault="00C01964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>__</w:t>
      </w:r>
      <w:r w:rsidRPr="00194F08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br/>
        <w:t>(код бюджету)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C01964" w:rsidRPr="00D8629C" w:rsidRDefault="00C01964" w:rsidP="00CB1CE7">
      <w:pPr>
        <w:spacing w:after="0" w:line="360" w:lineRule="atLeast"/>
        <w:jc w:val="right"/>
        <w:rPr>
          <w:rFonts w:ascii="Times New Roman" w:hAnsi="Times New Roman"/>
          <w:color w:val="2A2928"/>
          <w:sz w:val="24"/>
          <w:szCs w:val="24"/>
          <w:lang w:eastAsia="ru-RU"/>
        </w:rPr>
      </w:pPr>
      <w:r w:rsidRPr="00D8629C">
        <w:rPr>
          <w:rFonts w:ascii="Times New Roman" w:hAnsi="Times New Roman"/>
          <w:color w:val="2A2928"/>
          <w:sz w:val="24"/>
          <w:szCs w:val="24"/>
          <w:lang w:eastAsia="ru-RU"/>
        </w:rPr>
        <w:t>(грн)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571"/>
      </w:tblGrid>
      <w:tr w:rsidR="00C01964" w:rsidRPr="00BE08C7" w:rsidTr="00FD1577">
        <w:trPr>
          <w:trHeight w:val="6714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14485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3"/>
              <w:gridCol w:w="1345"/>
              <w:gridCol w:w="1568"/>
              <w:gridCol w:w="2585"/>
              <w:gridCol w:w="1928"/>
              <w:gridCol w:w="1269"/>
              <w:gridCol w:w="991"/>
              <w:gridCol w:w="1016"/>
              <w:gridCol w:w="1170"/>
              <w:gridCol w:w="1250"/>
            </w:tblGrid>
            <w:tr w:rsidR="00C01964" w:rsidRPr="00BE08C7" w:rsidTr="00D41780">
              <w:trPr>
                <w:trHeight w:val="277"/>
                <w:tblCellSpacing w:w="18" w:type="dxa"/>
              </w:trPr>
              <w:tc>
                <w:tcPr>
                  <w:tcW w:w="4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88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3356E6">
                      <w:rPr>
                        <w:rFonts w:ascii="Times New Roman" w:hAnsi="Times New Roman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65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80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Спеціальний фонд</w:t>
                  </w:r>
                </w:p>
              </w:tc>
            </w:tr>
            <w:tr w:rsidR="00C01964" w:rsidRPr="00BE08C7" w:rsidTr="00D41780">
              <w:trPr>
                <w:trHeight w:val="140"/>
                <w:tblCellSpacing w:w="18" w:type="dxa"/>
              </w:trPr>
              <w:tc>
                <w:tcPr>
                  <w:tcW w:w="4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52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8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65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2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3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1964" w:rsidRPr="003356E6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C01964" w:rsidRPr="00BE08C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356E6">
                    <w:rPr>
                      <w:rFonts w:ascii="Times New Roman" w:hAnsi="Times New Roman"/>
                      <w:lang w:eastAsia="ru-RU"/>
                    </w:rPr>
                    <w:t>10</w:t>
                  </w:r>
                </w:p>
              </w:tc>
            </w:tr>
            <w:tr w:rsidR="00C01964" w:rsidRPr="00BE08C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01000000</w:t>
                  </w: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Нагірянська сільська рада</w:t>
                  </w: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46FF1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01964" w:rsidRPr="00BE08C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8A59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0112144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2144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F4471B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iCs/>
                      <w:lang w:eastAsia="ru-RU"/>
                    </w:rPr>
                    <w:t>Централізовані заходи з лікування хворих на цукровий та нецукровий діабет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F4471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забезпечення препаратами інсуліну хворих на цукровий та нецукровий діабет жителів Нагірянської сільської ради на 2021рік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F4471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233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 від 23 лютого 2021р.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F4471B">
                  <w:pPr>
                    <w:spacing w:after="0" w:line="240" w:lineRule="auto"/>
                    <w:ind w:left="87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-30756,95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C01964" w:rsidRPr="00CB1CE7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C01964" w:rsidRPr="00CB1CE7" w:rsidRDefault="00C01964" w:rsidP="00F447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C01964" w:rsidRPr="00BE08C7" w:rsidTr="00D41780">
              <w:trPr>
                <w:trHeight w:val="1118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FD15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hAnsi="Times New Roman"/>
                      <w:b/>
                      <w:lang w:val="uk-UA" w:eastAsia="ru-RU"/>
                    </w:rPr>
                    <w:t>08000000</w:t>
                  </w:r>
                  <w:r w:rsidRPr="00D8629C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D8629C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8629C">
                    <w:rPr>
                      <w:rFonts w:ascii="Times New Roman" w:hAnsi="Times New Roman"/>
                      <w:b/>
                      <w:lang w:val="uk-UA" w:eastAsia="ru-RU"/>
                    </w:rPr>
                    <w:t xml:space="preserve">Відділ соціального захисту населення Нагірянської сільської ради 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37000,00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946FF1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37000,00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0,00</w:t>
                  </w:r>
                  <w:r w:rsidRPr="00D8629C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8629C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0,00</w:t>
                  </w:r>
                  <w:r w:rsidRPr="00D8629C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</w:tr>
            <w:tr w:rsidR="00C01964" w:rsidRPr="00BE08C7" w:rsidTr="00D41780">
              <w:trPr>
                <w:trHeight w:val="2709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0813160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F00E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3160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1010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D8629C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Надання соціальних гарантій 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3119E8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Програма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 соціальної підтримки </w:t>
                  </w:r>
                </w:p>
                <w:p w:rsidR="00C01964" w:rsidRPr="00F00EAE" w:rsidRDefault="00C01964" w:rsidP="003119E8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малозахищених верств населення Нагірянської сільської ради «Турбота» на 2021-2023 роки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D8629C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>Рішення сесії Нагірянської сільської ради №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402 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 від 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26 квітня 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2021р. </w:t>
                  </w:r>
                  <w:r w:rsidRPr="00F00EAE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37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 000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37</w:t>
                  </w:r>
                  <w:r w:rsidRPr="00F00EAE">
                    <w:rPr>
                      <w:rFonts w:ascii="Times New Roman" w:hAnsi="Times New Roman"/>
                      <w:lang w:val="uk-UA" w:eastAsia="ru-RU"/>
                    </w:rPr>
                    <w:t xml:space="preserve"> 000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3356E6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lang w:val="uk-UA" w:eastAsia="ru-RU"/>
                    </w:rPr>
                  </w:pPr>
                  <w:r w:rsidRPr="005C2DAD">
                    <w:rPr>
                      <w:rFonts w:ascii="Times New Roman" w:hAnsi="Times New Roman"/>
                      <w:lang w:val="uk-UA" w:eastAsia="ru-RU"/>
                    </w:rPr>
                    <w:t>0,00</w:t>
                  </w:r>
                </w:p>
              </w:tc>
            </w:tr>
            <w:tr w:rsidR="00C01964" w:rsidRPr="00BE08C7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8A595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Фінансовий відділ Нагірянської сільської ради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176798,20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176798,20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D41780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C01964" w:rsidRPr="00BE08C7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F7885" w:rsidRDefault="00C01964" w:rsidP="005C2DAD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2F7885">
                    <w:rPr>
                      <w:rFonts w:ascii="Times New Roman" w:hAnsi="Times New Roman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5C2DA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комунального некомерційного підприємства «Чортківська центральна комунальна міська лікарня» Чортківської міської ради на 2021рік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5C2DA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230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від 23 лютого 2021р.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131DD8" w:rsidRDefault="00C01964" w:rsidP="005C2DA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34198,20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131DD8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34198,20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5C2D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C01964" w:rsidRPr="00BE08C7" w:rsidTr="00D41780">
              <w:trPr>
                <w:trHeight w:val="395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F7885" w:rsidRDefault="00C01964" w:rsidP="00AA40DA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2F7885">
                    <w:rPr>
                      <w:rFonts w:ascii="Times New Roman" w:hAnsi="Times New Roman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AA40D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закладів первинної медицини,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що розташовані на території Нагірянської сільської ради на 2021рік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1038D" w:rsidRDefault="00C01964" w:rsidP="00AA40D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231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від 23 лютого 2021р. </w:t>
                  </w:r>
                  <w:r w:rsidRPr="0021038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142600,00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4E2061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142600,00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CB1CE7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C01964" w:rsidRPr="00CB1CE7" w:rsidRDefault="00C01964" w:rsidP="00AA40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bookmarkStart w:id="0" w:name="_GoBack"/>
                  <w:bookmarkEnd w:id="0"/>
                </w:p>
              </w:tc>
            </w:tr>
            <w:tr w:rsidR="00C01964" w:rsidRPr="00BE08C7" w:rsidTr="00D41780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F00EAE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F00EAE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56994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УСЬОГО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56994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56994" w:rsidRDefault="00C01964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56994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56994" w:rsidRDefault="00C01964" w:rsidP="008465E0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 xml:space="preserve">  183041,25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Pr="00256994" w:rsidRDefault="00C01964" w:rsidP="008465E0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 xml:space="preserve">  183041,25</w:t>
                  </w:r>
                </w:p>
              </w:tc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</w:p>
                <w:p w:rsidR="00C01964" w:rsidRPr="00D41780" w:rsidRDefault="00C01964" w:rsidP="00D417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1964" w:rsidRDefault="00C01964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lang w:val="uk-UA" w:eastAsia="ru-RU"/>
                    </w:rPr>
                  </w:pPr>
                </w:p>
                <w:p w:rsidR="00C01964" w:rsidRPr="00D41780" w:rsidRDefault="00C01964" w:rsidP="00D417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lang w:val="uk-UA" w:eastAsia="ru-RU"/>
                    </w:rPr>
                  </w:pPr>
                  <w:r w:rsidRPr="00D41780">
                    <w:rPr>
                      <w:rFonts w:ascii="Times New Roman" w:hAnsi="Times New Roman"/>
                      <w:b/>
                      <w:lang w:val="uk-UA" w:eastAsia="ru-RU"/>
                    </w:rPr>
                    <w:t>0,00</w:t>
                  </w:r>
                </w:p>
              </w:tc>
            </w:tr>
          </w:tbl>
          <w:p w:rsidR="00C01964" w:rsidRPr="00557219" w:rsidRDefault="00C01964" w:rsidP="00300B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01964" w:rsidRPr="00BE08C7" w:rsidTr="00FD1577">
        <w:trPr>
          <w:trHeight w:val="3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1964" w:rsidRDefault="00C01964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01964" w:rsidRDefault="00C01964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01964" w:rsidRPr="003356E6" w:rsidRDefault="00C01964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C01964" w:rsidRPr="00CB1CE7" w:rsidRDefault="00C01964" w:rsidP="00207502">
      <w:pPr>
        <w:rPr>
          <w:b/>
        </w:rPr>
      </w:pPr>
    </w:p>
    <w:sectPr w:rsidR="00C01964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90DDA"/>
    <w:rsid w:val="00124DFA"/>
    <w:rsid w:val="00131DD8"/>
    <w:rsid w:val="00194F08"/>
    <w:rsid w:val="001D37F7"/>
    <w:rsid w:val="00207502"/>
    <w:rsid w:val="0021038D"/>
    <w:rsid w:val="00256994"/>
    <w:rsid w:val="002F7885"/>
    <w:rsid w:val="00300B56"/>
    <w:rsid w:val="003119E8"/>
    <w:rsid w:val="0032435A"/>
    <w:rsid w:val="003356E6"/>
    <w:rsid w:val="0034032F"/>
    <w:rsid w:val="004A43BD"/>
    <w:rsid w:val="004E2061"/>
    <w:rsid w:val="00517D48"/>
    <w:rsid w:val="00557219"/>
    <w:rsid w:val="005C2DAD"/>
    <w:rsid w:val="00627BBC"/>
    <w:rsid w:val="00793C9A"/>
    <w:rsid w:val="008465E0"/>
    <w:rsid w:val="00886254"/>
    <w:rsid w:val="008A5951"/>
    <w:rsid w:val="00946FF1"/>
    <w:rsid w:val="00982A4A"/>
    <w:rsid w:val="00A00657"/>
    <w:rsid w:val="00A34ABF"/>
    <w:rsid w:val="00AA40DA"/>
    <w:rsid w:val="00AC24B9"/>
    <w:rsid w:val="00B67195"/>
    <w:rsid w:val="00BB04E8"/>
    <w:rsid w:val="00BE08C7"/>
    <w:rsid w:val="00C01964"/>
    <w:rsid w:val="00CB1CE7"/>
    <w:rsid w:val="00D056F1"/>
    <w:rsid w:val="00D41780"/>
    <w:rsid w:val="00D8629C"/>
    <w:rsid w:val="00DB65FB"/>
    <w:rsid w:val="00E1766F"/>
    <w:rsid w:val="00E258D1"/>
    <w:rsid w:val="00F00EAE"/>
    <w:rsid w:val="00F4471B"/>
    <w:rsid w:val="00F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254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53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2</Pages>
  <Words>556</Words>
  <Characters>3173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37</cp:revision>
  <cp:lastPrinted>2021-11-18T12:35:00Z</cp:lastPrinted>
  <dcterms:created xsi:type="dcterms:W3CDTF">2021-01-03T15:10:00Z</dcterms:created>
  <dcterms:modified xsi:type="dcterms:W3CDTF">2021-11-18T12:35:00Z</dcterms:modified>
</cp:coreProperties>
</file>