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BBD" w:rsidRDefault="006C0BBD" w:rsidP="006C0BBD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1</w:t>
      </w:r>
      <w:r>
        <w:rPr>
          <w:rFonts w:ascii="Times New Roman" w:hAnsi="Times New Roman" w:cs="Times New Roman"/>
          <w:b/>
          <w:sz w:val="28"/>
          <w:szCs w:val="28"/>
        </w:rPr>
        <w:br/>
        <w:t>до рішення сільської ради №1188</w:t>
      </w:r>
      <w:r>
        <w:rPr>
          <w:rFonts w:ascii="Times New Roman" w:hAnsi="Times New Roman" w:cs="Times New Roman"/>
          <w:b/>
          <w:sz w:val="28"/>
          <w:szCs w:val="28"/>
        </w:rPr>
        <w:br/>
        <w:t>від 19.10.2021 року</w:t>
      </w:r>
    </w:p>
    <w:p w:rsidR="00E63A47" w:rsidRPr="00E63A47" w:rsidRDefault="00E63A47" w:rsidP="00E63A47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A47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E63A47" w:rsidRPr="00E63A47" w:rsidRDefault="00E63A47" w:rsidP="00E63A47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b/>
          <w:sz w:val="28"/>
          <w:szCs w:val="28"/>
        </w:rPr>
        <w:t xml:space="preserve">«ПРО ГРОМАДСЬКИЙ БЮДЖЕТ </w:t>
      </w:r>
      <w:r>
        <w:rPr>
          <w:rFonts w:ascii="Times New Roman" w:hAnsi="Times New Roman" w:cs="Times New Roman"/>
          <w:b/>
          <w:sz w:val="28"/>
          <w:szCs w:val="28"/>
        </w:rPr>
        <w:t>ОЗЕРНЯНСЬКОЇ</w:t>
      </w:r>
      <w:r w:rsidRPr="00E63A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СІЛЬСКОЇ РАДИ</w:t>
      </w:r>
      <w:r w:rsidRPr="00E63A47">
        <w:rPr>
          <w:rFonts w:ascii="Times New Roman" w:hAnsi="Times New Roman" w:cs="Times New Roman"/>
          <w:b/>
          <w:sz w:val="28"/>
          <w:szCs w:val="28"/>
        </w:rPr>
        <w:t>»</w:t>
      </w:r>
    </w:p>
    <w:p w:rsidR="00C406A8" w:rsidRDefault="00C406A8" w:rsidP="00E63A47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A47">
        <w:rPr>
          <w:rFonts w:ascii="Times New Roman" w:hAnsi="Times New Roman" w:cs="Times New Roman"/>
          <w:b/>
          <w:sz w:val="28"/>
          <w:szCs w:val="28"/>
        </w:rPr>
        <w:t>1. Визначення понять</w:t>
      </w:r>
    </w:p>
    <w:p w:rsidR="00C406A8" w:rsidRDefault="00C406A8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>1.1. Громадський бюджет (бюджет участі) – це частина бюджету громади, з якого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 xml:space="preserve">здійснюється фінансування, визначених безпосередньо жителями </w:t>
      </w:r>
      <w:r>
        <w:rPr>
          <w:rFonts w:ascii="Times New Roman" w:hAnsi="Times New Roman" w:cs="Times New Roman"/>
          <w:sz w:val="28"/>
          <w:szCs w:val="28"/>
        </w:rPr>
        <w:t>Озернянської сільської ради</w:t>
      </w:r>
      <w:r w:rsidRPr="00E63A47">
        <w:rPr>
          <w:rFonts w:ascii="Times New Roman" w:hAnsi="Times New Roman" w:cs="Times New Roman"/>
          <w:sz w:val="28"/>
          <w:szCs w:val="28"/>
        </w:rPr>
        <w:t xml:space="preserve"> (надалі –громади) заходів, виконання робіт, надання послуг,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придбання матеріально-товарних цінностей, які носять загальнодоступний характер (вільний,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безкоштовний доступ та вільне безкоштовне користування усіма бажаючими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реалізації проєктів), відповідно до оформлених проєктів, які стали переможцями конкурсу.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 xml:space="preserve"> – пропозиція, яка подана Автором(-ми) та має підтримку не менше 15 жителів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громади (крім автора) та яка не суперечить чинному законодавству, не має на меті отримання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прибутку, реалізація якої належить до компетенції органу місцевого самоврядування, може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бути реалізована впродовж бюджетного року з врахуванням обсягу коштів та оформлена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формою згідно із Додатком 1 цього Положення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3A47">
        <w:rPr>
          <w:rFonts w:ascii="Times New Roman" w:hAnsi="Times New Roman" w:cs="Times New Roman"/>
          <w:sz w:val="28"/>
          <w:szCs w:val="28"/>
        </w:rPr>
        <w:t>Проєкти поділяються на великі та малі.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 xml:space="preserve">1.2.1. Малий 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 xml:space="preserve"> - це пропозиція, загальна вартість реалізації якої становить від 1000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500 000 гривень.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 xml:space="preserve">1.2.2 Великий 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 xml:space="preserve"> - це пропозиція загальна вартість реалізації якої становить від 500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63A47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до 2 000 000 гривень.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>1.3. Конкурс – це відбір проєктів, який дає можливість відібрати кращі з надісланих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розгляд проєктів шляхом голосування жителями територіальної громади. Мінімальна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кількість голосів підтримки за проєкти: малі проєкти встановлюється на рівні 300 голосів,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за великі – відповідно 500 голосів.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>1.4 Номінаційний комітет (надалі - Комітет) – колегіальний консультативний орган,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 xml:space="preserve">утворюється розпорядженням </w:t>
      </w:r>
      <w:r>
        <w:rPr>
          <w:rFonts w:ascii="Times New Roman" w:hAnsi="Times New Roman" w:cs="Times New Roman"/>
          <w:sz w:val="28"/>
          <w:szCs w:val="28"/>
        </w:rPr>
        <w:t>сільського голови</w:t>
      </w:r>
      <w:r w:rsidRPr="00E63A47">
        <w:rPr>
          <w:rFonts w:ascii="Times New Roman" w:hAnsi="Times New Roman" w:cs="Times New Roman"/>
          <w:sz w:val="28"/>
          <w:szCs w:val="28"/>
        </w:rPr>
        <w:t xml:space="preserve"> для координації організації виконання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громадського бюджету.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>1.5. Автор(-и) - громадянин (громадяни) України, іноземець (іноземці) та особа (особи)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без громадянства, який(-і) має(-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ють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>) дозвіл на постійне проживання на території України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на момент подання проєкту досяг (досягли) 16-річного віку, який(-і), в порядку визначеного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 xml:space="preserve">цим Положенням, підготував та подав 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 xml:space="preserve"> для фінансування з громадського бюджету.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 xml:space="preserve">Коли один 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 xml:space="preserve"> подають кілька Авторів, Автори використовують права самоврядності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самостійно визначають порядок взаємодії між її учасниками. Початково перелік Авторів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формується Лідером(-</w:t>
      </w:r>
      <w:proofErr w:type="spellStart"/>
      <w:r w:rsidRPr="00E63A47">
        <w:rPr>
          <w:rFonts w:ascii="Times New Roman" w:hAnsi="Times New Roman" w:cs="Times New Roman"/>
          <w:sz w:val="28"/>
          <w:szCs w:val="28"/>
        </w:rPr>
        <w:t>ою</w:t>
      </w:r>
      <w:proofErr w:type="spellEnd"/>
      <w:r w:rsidRPr="00E63A47">
        <w:rPr>
          <w:rFonts w:ascii="Times New Roman" w:hAnsi="Times New Roman" w:cs="Times New Roman"/>
          <w:sz w:val="28"/>
          <w:szCs w:val="28"/>
        </w:rPr>
        <w:t>).</w:t>
      </w:r>
    </w:p>
    <w:p w:rsidR="00E63A47" w:rsidRPr="00E63A47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lastRenderedPageBreak/>
        <w:t>1.6. Голосування – процес визначення жителями громади (громадянами України віком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16 років, які зареєстровані на території Тернопільської міської територіальної громади),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проєктів-переможців серед відібраних Комітетом проєктів шляхом заповнення бланку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голосування в паперовому або електронному вигляді.</w:t>
      </w:r>
    </w:p>
    <w:p w:rsidR="00C406A8" w:rsidRDefault="00E63A47" w:rsidP="00E63A47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A47">
        <w:rPr>
          <w:rFonts w:ascii="Times New Roman" w:hAnsi="Times New Roman" w:cs="Times New Roman"/>
          <w:sz w:val="28"/>
          <w:szCs w:val="28"/>
        </w:rPr>
        <w:t>1.7. Пункти голосування – місця для проведення голосування, які визначені Номінаційним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47">
        <w:rPr>
          <w:rFonts w:ascii="Times New Roman" w:hAnsi="Times New Roman" w:cs="Times New Roman"/>
          <w:sz w:val="28"/>
          <w:szCs w:val="28"/>
        </w:rPr>
        <w:t>комітетом.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1.8 Е-сервіс «Громадський бюджет» - це онлайн сервіс, який дозволяє приймати участь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подачі проєктів та голосуванні за них, у рамках громадського бюджету громади,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використовуючи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BankID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MobileID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або інший метод ідентифікації, визначеним цим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Положенням.</w:t>
      </w:r>
    </w:p>
    <w:p w:rsid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6A8">
        <w:rPr>
          <w:rFonts w:ascii="Times New Roman" w:hAnsi="Times New Roman" w:cs="Times New Roman"/>
          <w:b/>
          <w:sz w:val="28"/>
          <w:szCs w:val="28"/>
        </w:rPr>
        <w:t>2. Порядок фінансування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2.1. Фінансування громадського бюджету проводиться за рахунок коштів бюджету громади.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2.2. Загальний обсяг громадського бюджету на один бюджетний рік визначається рішенням</w:t>
      </w:r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ради та становить 1% обсягу власних доходів загального фонду </w:t>
      </w:r>
      <w:r>
        <w:rPr>
          <w:rFonts w:ascii="Times New Roman" w:hAnsi="Times New Roman" w:cs="Times New Roman"/>
          <w:sz w:val="28"/>
          <w:szCs w:val="28"/>
        </w:rPr>
        <w:t>сільського</w:t>
      </w:r>
      <w:r w:rsidRPr="00C406A8">
        <w:rPr>
          <w:rFonts w:ascii="Times New Roman" w:hAnsi="Times New Roman" w:cs="Times New Roman"/>
          <w:sz w:val="28"/>
          <w:szCs w:val="28"/>
        </w:rPr>
        <w:t xml:space="preserve"> бюджету,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затвердженого на початок р</w:t>
      </w:r>
      <w:r>
        <w:rPr>
          <w:rFonts w:ascii="Times New Roman" w:hAnsi="Times New Roman" w:cs="Times New Roman"/>
          <w:sz w:val="28"/>
          <w:szCs w:val="28"/>
        </w:rPr>
        <w:t>оку в якому оголошується конкурс</w:t>
      </w:r>
      <w:r w:rsidRPr="00C406A8">
        <w:rPr>
          <w:rFonts w:ascii="Times New Roman" w:hAnsi="Times New Roman" w:cs="Times New Roman"/>
          <w:sz w:val="28"/>
          <w:szCs w:val="28"/>
        </w:rPr>
        <w:t>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2.3. На малі проєкти виділяється 30% загального обсягу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2.4. На великі проєкти виділяється 70% загального обсягу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Розмір можливого фінансування оголошується Номінаційним комітетом до оголошення</w:t>
      </w:r>
      <w:r w:rsidRPr="006C0BBD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конкурсу та розміщується на Е-сервісі «Громадський бюджет» та на офіційному сайті</w:t>
      </w:r>
      <w:r w:rsidRPr="006C0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C406A8">
        <w:rPr>
          <w:rFonts w:ascii="Times New Roman" w:hAnsi="Times New Roman" w:cs="Times New Roman"/>
          <w:sz w:val="28"/>
          <w:szCs w:val="28"/>
        </w:rPr>
        <w:t>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2.6. За рахунок коштів громадського бюджету фінансуються проєкти жителів громади,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реалізація яких можлива впродовж одного бюджетного року.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2.7. У випадку, якщо реалізація проєкту передбачає використання земельної ділянки, вона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повинна належати до комунальної власності та відповідати умовам, зазначеним у п.4.1.</w:t>
      </w:r>
    </w:p>
    <w:p w:rsid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6A8">
        <w:rPr>
          <w:rFonts w:ascii="Times New Roman" w:hAnsi="Times New Roman" w:cs="Times New Roman"/>
          <w:b/>
          <w:sz w:val="28"/>
          <w:szCs w:val="28"/>
        </w:rPr>
        <w:t>3. Порядок утворення, права та обов’язки Номінаційного комітету</w:t>
      </w:r>
    </w:p>
    <w:p w:rsid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3.1 Персональний склад Номінаційного комітету (надалі Комітет) у складі 13 осіб,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затверджується розпорядженням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сільского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голови. До складу Комітету входять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представники профільних депутатських комісій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406A8">
        <w:rPr>
          <w:rFonts w:ascii="Times New Roman" w:hAnsi="Times New Roman" w:cs="Times New Roman"/>
          <w:sz w:val="28"/>
          <w:szCs w:val="28"/>
        </w:rPr>
        <w:t>6 представників виконавчих органів ради та 3 представники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громадськості (члени громадських організацій)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06A8">
        <w:rPr>
          <w:rFonts w:ascii="Times New Roman" w:hAnsi="Times New Roman" w:cs="Times New Roman"/>
          <w:sz w:val="28"/>
          <w:szCs w:val="28"/>
        </w:rPr>
        <w:t>Члени Номінаційного комітету від громадськості формуються шляхом рейтингового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голосування через портал Електронних консультацій та </w:t>
      </w:r>
      <w:r w:rsidRPr="00C406A8">
        <w:rPr>
          <w:rFonts w:ascii="Times New Roman" w:hAnsi="Times New Roman" w:cs="Times New Roman"/>
          <w:sz w:val="28"/>
          <w:szCs w:val="28"/>
        </w:rPr>
        <w:lastRenderedPageBreak/>
        <w:t>опитувань, який використовує</w:t>
      </w:r>
      <w:r>
        <w:rPr>
          <w:rFonts w:ascii="Times New Roman" w:hAnsi="Times New Roman" w:cs="Times New Roman"/>
          <w:sz w:val="28"/>
          <w:szCs w:val="28"/>
        </w:rPr>
        <w:t xml:space="preserve"> Озернянська сільська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Заяви членів громадських організацій подаються впродовж 7-ми днів з дня оголошення про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відбір громадськості для участі у Номінаційному комітеті, розміщеному на сайті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Тернопільської міської ради. До заяви додається резюме в довільній формі та згода на</w:t>
      </w:r>
      <w:r>
        <w:rPr>
          <w:rFonts w:ascii="Times New Roman" w:hAnsi="Times New Roman" w:cs="Times New Roman"/>
          <w:sz w:val="28"/>
          <w:szCs w:val="28"/>
        </w:rPr>
        <w:t xml:space="preserve"> обробку персональних даних</w:t>
      </w:r>
      <w:r w:rsidRPr="00C406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 за членів Номінаційного комітету від громадськості відбувається впродовж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днів після завершення терміну подачі заявок на участь у Номінаційному комітету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портал Електронних консультацій та опитувань.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Засідання Комітету є відкритими. В засіданні Комітету можуть брати участь представники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громадськості без права голосу.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3.2. Права Комітету: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отримувати інформацію від виконавчих органів ради про хід реалізації проєктів,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фінансуються громадським бюджетом;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подавати висновки та рекомендації автору (-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) щодо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, поданих для 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громадським бюджетом;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визначати уповноваженого представника для доповідей та співдоповідей з 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громадського бюджету на засіданнях виконавчого комітету, засіданнях постійних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депутатських комісій і пленарних засіданнях ради;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попередньо розглядати звіти про виконання проєктів у рамках громадського бюджету;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затверджувати результати голосування;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заслуховувати авторів проєктів, керівників структурних підрозділів з питань реалізації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проєктів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3.3. Обов’язки Комітету: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забезпечити дотримання вимог цього Положення;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координувати процес здійснення та функціонування громадського бюджету;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визначати пункти для голосування;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надавати висновки та рекомендації до кожного проєкту, поданого для реалізації в рамках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громадського бюджету;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затверджувати проєкти, які допускаються та не допускаються до голосування;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формувати та затверджувати реєстри позитивно та негативно оцінених проєктів;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визначати щодо кожного проєкту відповідальний виконавчий орган за галузевою ознакою;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попередньо розглядати проєкти звітів про виконання проєктів у рамках громадського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бюджету;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проводити свої засідання гласно та відкрито, публікувати протокол засідання;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- вирішувати всі спірні питання, які виникають у процесі реалізації громадського бюджету, в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тому числі при встановленні результатів голосування та реалізації проєктів (спори щодо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визнання недійсними бланків для голосування та інше);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- за 3 робочих дня до дати проведення засідання повідомляти жителів громади через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офіційний сайт </w:t>
      </w:r>
      <w:proofErr w:type="spellStart"/>
      <w:r w:rsidR="00BE3BCC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BCC">
        <w:rPr>
          <w:rFonts w:ascii="Times New Roman" w:hAnsi="Times New Roman" w:cs="Times New Roman"/>
          <w:sz w:val="28"/>
          <w:szCs w:val="28"/>
        </w:rPr>
        <w:t>сільскої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ради про час та місце засідання;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3.4. Комітет працює у формі засідань. Рішення на засіданні Комітету ухвалюються більшістю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членів від загального складу.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3.5 На своєму першому засіданні Комітет обирає зі свого складу голову та секретаря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комітету. Секретарем Комітету є представник структурного підрозділу виконавчих органів</w:t>
      </w:r>
      <w:r w:rsidR="00BE3BCC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6C0BBD">
        <w:rPr>
          <w:rFonts w:ascii="Times New Roman" w:hAnsi="Times New Roman" w:cs="Times New Roman"/>
          <w:sz w:val="28"/>
          <w:szCs w:val="28"/>
        </w:rPr>
        <w:t>ь</w:t>
      </w:r>
      <w:r w:rsidR="00BE3BCC">
        <w:rPr>
          <w:rFonts w:ascii="Times New Roman" w:hAnsi="Times New Roman" w:cs="Times New Roman"/>
          <w:sz w:val="28"/>
          <w:szCs w:val="28"/>
        </w:rPr>
        <w:t>кої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3.6. Протоколи засідань, висновки та рекомендації підписуються головою та секретарем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Комітету. Протоколи засідань Номінаційного комітету оприлюднюються на сайті </w:t>
      </w:r>
      <w:r w:rsidR="00BE3BCC">
        <w:rPr>
          <w:rFonts w:ascii="Times New Roman" w:hAnsi="Times New Roman" w:cs="Times New Roman"/>
          <w:sz w:val="28"/>
          <w:szCs w:val="28"/>
        </w:rPr>
        <w:t>сільс</w:t>
      </w:r>
      <w:r w:rsidR="006C0BBD">
        <w:rPr>
          <w:rFonts w:ascii="Times New Roman" w:hAnsi="Times New Roman" w:cs="Times New Roman"/>
          <w:sz w:val="28"/>
          <w:szCs w:val="28"/>
        </w:rPr>
        <w:t>ь</w:t>
      </w:r>
      <w:r w:rsidR="00BE3BCC">
        <w:rPr>
          <w:rFonts w:ascii="Times New Roman" w:hAnsi="Times New Roman" w:cs="Times New Roman"/>
          <w:sz w:val="28"/>
          <w:szCs w:val="28"/>
        </w:rPr>
        <w:t xml:space="preserve">кої </w:t>
      </w:r>
      <w:r w:rsidRPr="00C406A8">
        <w:rPr>
          <w:rFonts w:ascii="Times New Roman" w:hAnsi="Times New Roman" w:cs="Times New Roman"/>
          <w:sz w:val="28"/>
          <w:szCs w:val="28"/>
        </w:rPr>
        <w:t>ради не пізніше 5 робочих дні з дня проведення засідання.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3.7. Члени Комітету, а також представники громадських організацій, закладів, установ, які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представляють члени Комітету не можуть бути авторами проєктів.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BE3BCC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BCC">
        <w:rPr>
          <w:rFonts w:ascii="Times New Roman" w:hAnsi="Times New Roman" w:cs="Times New Roman"/>
          <w:b/>
          <w:sz w:val="28"/>
          <w:szCs w:val="28"/>
        </w:rPr>
        <w:t>4. Порядок подання проєктів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4.1. Проєкти, реалізація яких відбуватиметься за рахунок коштів громадського бюджету,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повинні бути спрямовані на покращення інфраструктури громади (наприклад: вулиці, парку,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дороги, спортивного чи дитячого майданчика, територій школи, медичних закладів, тощо). 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разі, якщо реалізація проєкту передбачає використання земельної ділянки, вона повинна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належати до власності територіальної громади та не перебувати у власності /користуванні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фізичної та/або юридичної особи (окрім ОСББ).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Результат проєкту має бути загальнодоступними та безкоштовним для всіх жителів громади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 врахуванням вимог пунктів 1.1 та 1.2.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подається особисто автором (одним із авторів) проєкту: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1) у паперовому вигляді в пунктах прийому документів, визначених Комітетом, згідно з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додатком до цього Положення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або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2) у електронному вигляді, шляхом заповнення відповідної форми на Е-сервісі «Громадський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бюджет» 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4.3. Впродовж 7 календарних днів з дня подачі проєкту автор підтверджує підтримку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поданого проєкту голосами не менше 15 жителів громади, ідентифікованих за допомогою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Bank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ID,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Mobile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ID через Е-сервіс «Громадський бюджет».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4.4. Кожен автор може подати не більше, аніж один великий та один малий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, реалізація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якого відбуватиметься за рахунок коштів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4.5. Проєкти приймаються щороку, починаючи з 01 вересня, впродовж 30 календарних днів.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4.6. Проєкти повинні відповідати вимогам пункту 1.1,1.2 цього Положення та: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4.6.1. назва проєкту має відображати зміст проєкту і бути викладена лаконічно, одним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реченням;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4.6.2. не суперечити чинному законодавству України;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4.6.3. реалізація проєкту повинна належати до компетенції Тернопільської міської ради;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4.6.4.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має відповідати стратегічним пріоритетам і цілям розвитку громади;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4.6.5. об’єкт, який створений за реалізацією проєкту, має бути загальнодоступним та не мати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комерційного характеру;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4.6.6.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у сфері просторового розвитку має відповідати Генеральному плану громади,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іншій містобудівній документації та реалізовуватись на землях, які належать до комунальної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власності територіальної громади (відповідно до п.4.1. цього Положення);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4.6.7.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повинен бути реалізований впродовж одного бюджетного року і спрямований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на кінцевий результат.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При формуванні проєктів, які включають роботи з будівництва, реконструкції або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капітального ремонту об’єктів, авторам необхідно керуватись орієнтовними цінами на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основні будівельні матеріали, вироби на конструкції, розміщеними на сайті Міністерства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розвитку громад та територій України www.minregion.gov.ua (підрозділ «Ціноутворення»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розділу «Ціноутворення, експертиза та розвиток будівельної діяльності»).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 В рамках громадського бюджету не приймаються до розгляду проєкти, які: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4.7.1. не відповідають істотним вимогам, зазначеним в п.4.6 цього Положення;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4.7.2. передбачають виключно розробку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документації або носять фрагментарний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характер (виконання проєкту вимагатиме в майбутньому виконання подальших елементів,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не передбачає створення завершеного об'єкта) 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4.7.3. передбачають залучення для їх реалізації додаткової штатної чисельності до штату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бюджетної установи та постійного її утримання за рахунок коштів бюджету громади;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4.7.4. містять ненормативну лексику, наклепи, образи, заклики до насильства, повалення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влади, зміну конституційного ладу країни тощо.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4.7.5. передбачають витрати на утримання та обслуговування, що перевищують вартість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реалізації проєкту;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4.7.6. суперечать чинному законодавству України.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4.7.7 не гарантують вільний та безкоштовний доступ до результатів реалізації пропозиції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(проєкту);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4.7.8. не набрали достатньої кількості голосів підтримки, відповідно до пункту 4.3 цього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Положення.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4.7.9. Суперечать діючим програмам </w:t>
      </w:r>
      <w:r w:rsidR="00BE3BCC">
        <w:rPr>
          <w:rFonts w:ascii="Times New Roman" w:hAnsi="Times New Roman" w:cs="Times New Roman"/>
          <w:sz w:val="28"/>
          <w:szCs w:val="28"/>
        </w:rPr>
        <w:t>села</w:t>
      </w:r>
      <w:r w:rsidRPr="00C406A8">
        <w:rPr>
          <w:rFonts w:ascii="Times New Roman" w:hAnsi="Times New Roman" w:cs="Times New Roman"/>
          <w:sz w:val="28"/>
          <w:szCs w:val="28"/>
        </w:rPr>
        <w:t xml:space="preserve"> або дублюють завдання, які передбачені цими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програмами.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4.7.10. Проєкти подані установами організаціями та підприємствами, на територіях яких в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попередні три роки відбувалася реалізація проєктів-переможці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4.8. Заповнені бланки проєктів, реалізація яких відбуватиметься за рахунок коштів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громадського бюджету, після проходження первинної перевірки оприлюднюються на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Есервісі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«Громадський бюджет»(за винятком сторінок, які містять персональні дані авторів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проєкту і на розповсюдження яких останні не дали своєї згоди)впродовж 1 робочого дня.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4.9. Автор проєкту може у будь-який момент зняти свій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з розгляду, але не пізніше ніж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 7 календарних днів до початку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4.10. Об’єднання Проєктів можливе лише за взаємною згодою авторів, але не пізніше ніж за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7 календарних днів до початку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4.11. Внесення змін щодо суті проєкту можливе лише за письмовою згодою автора (-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)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.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BE3BCC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BCC">
        <w:rPr>
          <w:rFonts w:ascii="Times New Roman" w:hAnsi="Times New Roman" w:cs="Times New Roman"/>
          <w:b/>
          <w:sz w:val="28"/>
          <w:szCs w:val="28"/>
        </w:rPr>
        <w:t>5. Порядок аналізу та розгляду проєктів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="00BE3BCC">
        <w:rPr>
          <w:rFonts w:ascii="Times New Roman" w:hAnsi="Times New Roman" w:cs="Times New Roman"/>
          <w:sz w:val="28"/>
          <w:szCs w:val="28"/>
        </w:rPr>
        <w:t>Сільский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голова розпорядженням визначає відповідальний структурний підрозділ, що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буде вести реєстр отриманих проєктів, реалізація яких відбуватиметься за рахунок коштів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5.2. Відповідальний структурний підрозділ впродовж 5 робочих днів з дня отримання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проєкту здійснює формальну перевірку повноти заповнення форми проєкту, а також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необхідної кількості голосів;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5.2.1. Відповідальний структурний підрозділ передає копію проєкту до відповідних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структурних підрозділів виконавчого комітету, до повноважень яких відноситься реалізація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проєкту, для підготовки пропозицій та зауважень до кожного проєкту;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5.2.2. У разі, якщо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є неповний, відповідальна особа по телефону або електронною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поштою повідомляє про це автора проєкту з проханням надати необхідну інформацію або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внести корективи впродовж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7 календарних днів. У випадку відмови внести корективи, або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якщо такі корективи не були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внесенівпродовж</w:t>
      </w:r>
      <w:proofErr w:type="spellEnd"/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7 календарних днів з дня отримання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відповідної інформації її автором,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відхиляється;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5.3. Виконавчі органи </w:t>
      </w:r>
      <w:proofErr w:type="spellStart"/>
      <w:r w:rsidR="00BE3BCC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BCC">
        <w:rPr>
          <w:rFonts w:ascii="Times New Roman" w:hAnsi="Times New Roman" w:cs="Times New Roman"/>
          <w:sz w:val="28"/>
          <w:szCs w:val="28"/>
        </w:rPr>
        <w:t>сільскої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ради, до повноважень яких відноситься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реалізація проєктів: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5.3.2. Впродовж 20 календарних днів з дня отримання проєктів здійснюють їх аналіз з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урахуванням положень пункту 5.2.2;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5.3.3. Зауваження та пропозиції до проєктів одразу передають відповідальному структурному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підрозділу.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5.4. Проєкти з зауваженнями та пропозиціями згідно з пунктом 5.3.3 відповідальний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структурний підрозділ розміщує на Е-сервісі «Громадський бюджет», а також передає для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розгляду на засіданні Номінаційного комітету з метою оцінки проєктів, подання висновків та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рекомендацій проєктів.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5.5. Якщо згідно з висновком профільного виконавчого органу реалізація проєкту є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неможливою або його вартість зростає понад встановлені граничні норми, то Номінаційний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комітет такий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додатково розглядає на власному засіданні для підтвердження або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відхилення зауважень профільного виконавчого органу. Зауваження, пропозиції та можливі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зміни розглядаються на засіданні Номінаційного комітету, на яке запрошується автор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проєкту та представник профільного виконавчого органу.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 підсумками засідання, Номінаційний комітет приймає остаточне рішення та або відхиляє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, або виносить його на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5.6. За результатами розгляду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Номінаційний комітет затверджує проєкти,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які допускаються чи не допускаються до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5.7. Подані проєкти, які були прийняті до розгляду міською радою та пройшли оцінку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Номінаційного комітету із зазначенням результатів розгляду кожного проєкту разом з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додатками розміщуються на Е-сервісі «Громадський бюджет» не пізніше ніж 5 календарних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днів до початку оголошення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5.8. Якщо Автор проєкту не погоджується з рішенням Номінаційного комітету щодо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недопуску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до голосування, Автор має право написати заяву на Номінаційний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комітет у довільній формі щодо повторного розгляду проєкту із наданням аргументів про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необгрунтовантованість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відхилення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. Номінаційний комітет зобов'язаний розглянути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заяву із запрошенням Автора на наступному засіданні</w:t>
      </w:r>
      <w:r w:rsidR="00BE3BCC">
        <w:rPr>
          <w:rFonts w:ascii="Times New Roman" w:hAnsi="Times New Roman" w:cs="Times New Roman"/>
          <w:sz w:val="28"/>
          <w:szCs w:val="28"/>
        </w:rPr>
        <w:t>.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BE3BCC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BCC">
        <w:rPr>
          <w:rFonts w:ascii="Times New Roman" w:hAnsi="Times New Roman" w:cs="Times New Roman"/>
          <w:b/>
          <w:sz w:val="28"/>
          <w:szCs w:val="28"/>
        </w:rPr>
        <w:t>6. Організація голосування</w:t>
      </w:r>
    </w:p>
    <w:p w:rsidR="00BE3BCC" w:rsidRDefault="00BE3BCC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6.1. Оголошення про початок голосування та перелік пунктів для голосування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оприлюднюється на офіційному сайті </w:t>
      </w:r>
      <w:r w:rsidR="00BE3BCC"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ради не пізніше, ніж за 3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робочих дні до його початку.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6.2. Голосування триває впродовж 15 календарних днів з дня початку голосування 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визначених Комітетом пунктах для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6.3. Відбір проєктів для фінансування за рахунок коштів громадського бюджету, які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отримали позитивну оцінку і були виставлені на голосування, здійснюють жителі громади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черезЕ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-сервіс «Громадський бюджет» шляхом авторизації через систему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BankID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MobileID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бюлетенями в пунктах для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6.4. Перелік пунктів для голосування та період голосування визначається рішенням Комітету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та оприлюднюється не пізніше як за 3 календарних днів до дня початку голосування.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6.5. У пунктах для голосування відповідно до пункту 6.1 цього Положення можна отримати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бюлетені для голосування, а також перелік та інформацію про проєкти, що беруть участь у</w:t>
      </w:r>
      <w:r w:rsidR="00BE3BCC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голосуванні.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6.6. Голосування здійснюється: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6.6.1. через Е-сервіс «Громадський бюджет»,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шляхом заповнення електронної версії бланку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для голосування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або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6.6.2. у спеціально визначених Комітетом пунктах для голосування з використанням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спеціальних бланків для голосування. При цьому для підтвердження права на голосування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житель громади особисто пред’являє паспорт консультанту (уповноваженій особі), що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працює в пункті для голосування, і після пред’явлення документа отримує особисто один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бланк для голосування.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Консультант несе персональну відповідальність за отримані бланки для голосування (бланки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для голосування мають наскрізну нумерацію та відтиск відповідної печатки), за видачу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бланків для голосування особисто особі (і не більше одного на одну особу), за збереження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скриньки для голосування, за перевірку достовірності внесених даних. У пунктах для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 можна також отримати перелік проєктів, допущених до голосування. Пункти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 відкриті для голосування впродовж всього робочого часу установи, в якій вони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розміщені.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Електронна та письмова форми бланків подачі проєктів та бланків для голосування можуть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містити незначні відмінності.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6.6.3. У ході голосування ведеться журнал реєстрації, один на пункт голосування (прошитий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та пронумерований), у яких зазначається: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Дата голосування;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Номер виданого бланку для голосування;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Прізвище, ім’я та по батькові громадянина;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Місце реєстрації громадянина;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Серія та номер паспорта громадянина;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Підпис громадянина;</w:t>
      </w:r>
    </w:p>
    <w:p w:rsidR="00C406A8" w:rsidRPr="00D97BB1" w:rsidRDefault="00C406A8" w:rsidP="00D97BB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Прізвище, ім’я та по батькові працівника пункту голосування, який видав бюлетень.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6.7.Кожний житель громади голосує особисто.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 будь-ким за інших осіб, а також передача жителем громади права голосу будь</w:t>
      </w:r>
      <w:r w:rsidR="00D97BB1">
        <w:rPr>
          <w:rFonts w:ascii="Times New Roman" w:hAnsi="Times New Roman" w:cs="Times New Roman"/>
          <w:sz w:val="28"/>
          <w:szCs w:val="28"/>
        </w:rPr>
        <w:t>-</w:t>
      </w:r>
      <w:r w:rsidRPr="00C406A8">
        <w:rPr>
          <w:rFonts w:ascii="Times New Roman" w:hAnsi="Times New Roman" w:cs="Times New Roman"/>
          <w:sz w:val="28"/>
          <w:szCs w:val="28"/>
        </w:rPr>
        <w:t>якій іншій особі забороняється.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Забороняється використовувати інформацію, яка дискредитує авторів інших проєктів, яка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містить неточності, недостовірності, двозначності, перебільшення, умовчання, вводить або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може ввести в оману жителів громади, що мають право брати участь у голосуванні за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пропозиції (проєкти), які можуть бути реалізовані за рахунок коштів громадського бюджету.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Забороняється надавати або обіцяти надання жителям громади, що мають право брати участь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у голосуванні за пропозиції (проєкти), які можуть бути реалізовані за рахунок коштів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громадського бюджету, неправомірної вигоди за вчинення чи невчинення будь-яких дій,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пов'язаних з безпосередньою реалізацією ними свого виборчого права.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Забороняється агітаційна компанія безпосередньо у визначених Комітетом пунктах для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Не можуть використовувати проєкти Громадського бюджету, у власних політичних цілях та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своїй політичній рекламі:</w:t>
      </w:r>
    </w:p>
    <w:p w:rsidR="00D97BB1" w:rsidRDefault="00C406A8" w:rsidP="00D97BB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 xml:space="preserve">політичні партії, </w:t>
      </w:r>
    </w:p>
    <w:p w:rsidR="00D97BB1" w:rsidRDefault="00C406A8" w:rsidP="00D97BB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 xml:space="preserve">депутатські фракції та групи </w:t>
      </w:r>
      <w:proofErr w:type="spellStart"/>
      <w:r w:rsidR="00D97BB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7BB1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6C0BBD">
        <w:rPr>
          <w:rFonts w:ascii="Times New Roman" w:hAnsi="Times New Roman" w:cs="Times New Roman"/>
          <w:sz w:val="28"/>
          <w:szCs w:val="28"/>
        </w:rPr>
        <w:t>ь</w:t>
      </w:r>
      <w:r w:rsidR="00D97BB1">
        <w:rPr>
          <w:rFonts w:ascii="Times New Roman" w:hAnsi="Times New Roman" w:cs="Times New Roman"/>
          <w:sz w:val="28"/>
          <w:szCs w:val="28"/>
        </w:rPr>
        <w:t>кої</w:t>
      </w:r>
      <w:r w:rsidRPr="00D97BB1">
        <w:rPr>
          <w:rFonts w:ascii="Times New Roman" w:hAnsi="Times New Roman" w:cs="Times New Roman"/>
          <w:sz w:val="28"/>
          <w:szCs w:val="28"/>
        </w:rPr>
        <w:t xml:space="preserve"> ради, </w:t>
      </w:r>
    </w:p>
    <w:p w:rsidR="00D97BB1" w:rsidRDefault="00C406A8" w:rsidP="00257A34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депутати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BB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7BB1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6C0BBD">
        <w:rPr>
          <w:rFonts w:ascii="Times New Roman" w:hAnsi="Times New Roman" w:cs="Times New Roman"/>
          <w:sz w:val="28"/>
          <w:szCs w:val="28"/>
        </w:rPr>
        <w:t>ь</w:t>
      </w:r>
      <w:r w:rsidR="00D97BB1">
        <w:rPr>
          <w:rFonts w:ascii="Times New Roman" w:hAnsi="Times New Roman" w:cs="Times New Roman"/>
          <w:sz w:val="28"/>
          <w:szCs w:val="28"/>
        </w:rPr>
        <w:t>кої</w:t>
      </w:r>
      <w:r w:rsidRPr="00D97BB1">
        <w:rPr>
          <w:rFonts w:ascii="Times New Roman" w:hAnsi="Times New Roman" w:cs="Times New Roman"/>
          <w:sz w:val="28"/>
          <w:szCs w:val="28"/>
        </w:rPr>
        <w:t xml:space="preserve"> ради, </w:t>
      </w:r>
    </w:p>
    <w:p w:rsidR="00C406A8" w:rsidRPr="00D97BB1" w:rsidRDefault="00C406A8" w:rsidP="00257A34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народні депутати України та помічники-консультанти народних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D97BB1">
        <w:rPr>
          <w:rFonts w:ascii="Times New Roman" w:hAnsi="Times New Roman" w:cs="Times New Roman"/>
          <w:sz w:val="28"/>
          <w:szCs w:val="28"/>
        </w:rPr>
        <w:t>депутатів України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6.8 За наявності зазначених фактів в пункті 6.7 (фото-відео фіксація), голос за обрану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пропозицію (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) не зараховується. У разі масових фактів порушення пункту 6.7 цього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Положення, пропозиція (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) за якою фіксуються масові порушення, знімається з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голосування за рішенням Номінаційного комітету.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6.9 Кожен житель може віддати один голос за малий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 один голос за великий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>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6.10 Голос поданий у пункті для голосування впродовж 1 робочого дня вноситься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модератором до Е-сервісу «Громадський бюджет».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D97BB1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t>7. Встановлення результатів та визначення переможців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7.1. Встановлення підсумків голосування передбачає підрахунок голосів через Е-сервіс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«Громадський бюджет». Якщо проєкти набирають однакову кількість голосів, то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пріоритетними вважаються ті, які потребують менший об’єм фінансування.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7.2. Рекомендованими до реалізації вважатимуться ті проєкти, які набрали найбільшу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кількість голосів до вичерпання обсягу коштів громадського бюджету громади, виділених на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реалізацію громадського бюджету на наступний бюджетний рік.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7.3. У разі нестачі коштів на реалізацію чергового проєкту з переліку, складеного відповідно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до норм пункту 7.2, до уваги береться перший з переліку, орієнтовна вартість реалізації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якого не призведе до перевищення суми коштів, виділених для реалізації проєктів.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7.4. Перелік проєктів, які шляхом голосування відповідно до пункту 7.2 були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рекомендованими для реалізації та затверджені протоколом Номінаційного комітету,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виноситься на розгляд чергової сесії міської ради.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7.5.Інформація про хід реалізації проєктів-переможців розміщується на офіційному Е-сервіс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«Громадський бюджет» 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 xml:space="preserve">7.6. Проєкти - переможці включаються в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бюджету громади за головними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розпорядниками коштів. Після затвердження бюджету громади проєкти підлягають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фінансуванню за рахунок коштів бюджету громади (в межах коштів громадського бюджету)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на наступний бюджетний рік.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7.7 Виконавцями проєктів-переможців визначаються головні розпорядники коштів бюджету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– виконавчі органи </w:t>
      </w:r>
      <w:proofErr w:type="spellStart"/>
      <w:r w:rsidR="00D97BB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97BB1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6C0BBD">
        <w:rPr>
          <w:rFonts w:ascii="Times New Roman" w:hAnsi="Times New Roman" w:cs="Times New Roman"/>
          <w:sz w:val="28"/>
          <w:szCs w:val="28"/>
        </w:rPr>
        <w:t>ь</w:t>
      </w:r>
      <w:r w:rsidR="00D97BB1">
        <w:rPr>
          <w:rFonts w:ascii="Times New Roman" w:hAnsi="Times New Roman" w:cs="Times New Roman"/>
          <w:sz w:val="28"/>
          <w:szCs w:val="28"/>
        </w:rPr>
        <w:t>кої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ради, які повинні здійснювати контроль за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реалізацією проєкту на будь-якому етапі та відповідність поданому автором проєкту. Головні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розпорядники бюджетних коштів можуть залучати розпорядників нижчого рівня або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одержувачів бюджетних коштів.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7.8 Автор (и) проєкту має право знайомитися з ходом реалізації проєкту. Автори проєктів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переможців можуть здійснювати контроль за реалізацією проєктів. Головні розпорядники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(розпорядники нижчого рівня або одержувачі) коштів бюджету громади забезпечують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взаємодію та координацію в межах бюджетного законодавства з авторами проєктів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переможців у процесі реалізації проєктів. Автор (и) проєкту (за його бажанням) у межах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чинного законодавства може бути залучений (і) до реалізації проєкту (авторський, технічний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нагляд, здійснення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тощо).Будь-які зміни у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можливі лише за наявності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письмової згоди Автора (Лідера) проєкту.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7.9. На об’єктах (їх частині), створених завдяки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проєктам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громадського бюджету, на видному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місці вказується інформація з відомостями про те, що цей об’єкт було реалізовано завдяки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громадському бюджету і за кошти бюджету громади та вказано рік реалізації проєкту.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D97BB1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t xml:space="preserve">8. Інформаційна та </w:t>
      </w:r>
      <w:proofErr w:type="spellStart"/>
      <w:r w:rsidRPr="00D97BB1">
        <w:rPr>
          <w:rFonts w:ascii="Times New Roman" w:hAnsi="Times New Roman" w:cs="Times New Roman"/>
          <w:b/>
          <w:sz w:val="28"/>
          <w:szCs w:val="28"/>
        </w:rPr>
        <w:t>промоційна</w:t>
      </w:r>
      <w:proofErr w:type="spellEnd"/>
      <w:r w:rsidRPr="00D97BB1">
        <w:rPr>
          <w:rFonts w:ascii="Times New Roman" w:hAnsi="Times New Roman" w:cs="Times New Roman"/>
          <w:b/>
          <w:sz w:val="28"/>
          <w:szCs w:val="28"/>
        </w:rPr>
        <w:t xml:space="preserve"> кампанія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8.1.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Промоційна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кампанія проводиться з метою ознайомлення жителів громади з основними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положеннями, принципами громадського бюджету громади, можливостями та напрямками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його реалізації.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8.2. Інформаційна кампанія спрямована на ознайомлення жителів з хронологією та строками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проведення заходів, перебігом подій, поданими та допущеними до голосування проєктами,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результатами голосування, станом реалізації проєктів – переможців тощо.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8.3.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Промоційна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 інформаційна кампанія здійснюється за рахунок коштів бюджету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громади та проводиться впродовж усіх етапів громадського бюджету.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8.4. Координація роботи з проведення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промоційної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 інформаційної кампанії покладається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на управління стратегічного розвитку.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8.5.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Промоційна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 інформаційна кампанія проводиться через громадські організації, засоби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масової інформації, мережу Інтернет, виготовлення та розміщення друкованої продукції,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аудіо - та відеоматеріалів, а також шляхом </w:t>
      </w:r>
      <w:r w:rsidRPr="00C406A8">
        <w:rPr>
          <w:rFonts w:ascii="Times New Roman" w:hAnsi="Times New Roman" w:cs="Times New Roman"/>
          <w:sz w:val="28"/>
          <w:szCs w:val="28"/>
        </w:rPr>
        <w:lastRenderedPageBreak/>
        <w:t>проведення публічних заходів (зустрічей, круглих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столів, прес – конференцій тощо).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8.6.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Промоційна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та інформаційна кампанія включає в себе такі етапи: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ознайомлення жителів з основними етапами бюджетного процесу;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ознайомленням з процесом громадського бюджету;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інформаційно-консультаційна кампанія щодо написання проєктів;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обговорення проєктів;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надання можливості ознайомитись з проєктами;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голосування за проєкти (щодо термінів, способу та місць для голосування);</w:t>
      </w:r>
    </w:p>
    <w:p w:rsidR="00C406A8" w:rsidRPr="00D97BB1" w:rsidRDefault="00C406A8" w:rsidP="00D97BB1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реалізації проєктів.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8.7. Автори проєктів, з метою отримання якомога більшої підтримки жителів територіальної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громади, мають право самостійно за власний рахунок організовувати інформаційні заходи з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роз’ясненням переваг власного проєкту.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D97BB1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t>9. Порядок звітування за результатами реалізації проєктів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9.1. За результатами реалізації проєктів відібраних для фінансування за рахунок коштів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громадського бюджету головні розпорядники бюджетних коштів, що беруть участь в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реалізації проєктів,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 xml:space="preserve">щомісячно до 10 числа оприлюднюють на сайті </w:t>
      </w:r>
      <w:proofErr w:type="spellStart"/>
      <w:r w:rsidR="006C0BBD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6C0BB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C406A8">
        <w:rPr>
          <w:rFonts w:ascii="Times New Roman" w:hAnsi="Times New Roman" w:cs="Times New Roman"/>
          <w:sz w:val="28"/>
          <w:szCs w:val="28"/>
        </w:rPr>
        <w:t xml:space="preserve"> звіт про реалізацію проєктів.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Підсумковий звіт подається на розгляд виконавчого комітету до 31 січня року, наступного за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звітнім.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Звіт включає в себе: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загальний опис результатів проєкту;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опис того, що не вдалося реалізувати або було реалізовано іншим чином;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опис робіт, які було проведено, їх послідовність;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дані про фактичний термін реалізації;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дані про фактичний бюджет;</w:t>
      </w:r>
    </w:p>
    <w:p w:rsidR="00C406A8" w:rsidRPr="00D97BB1" w:rsidRDefault="00C406A8" w:rsidP="00D97BB1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B1">
        <w:rPr>
          <w:rFonts w:ascii="Times New Roman" w:hAnsi="Times New Roman" w:cs="Times New Roman"/>
          <w:sz w:val="28"/>
          <w:szCs w:val="28"/>
        </w:rPr>
        <w:t>фото-звіт результату.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9.2. Міський голова готує консолідований звіт за результатами звітування головних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розпорядників бюджетних коштів та доповідає по ньому на сесії ради.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9.3. Звіти головних розпорядників бюджетних коштів, що брали участь в реалізації проєктів,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які фінансувались з громадського бюджету та консолідований звіт оприлюднюється на сайті</w:t>
      </w:r>
      <w:r w:rsidR="00D97BB1">
        <w:rPr>
          <w:rFonts w:ascii="Times New Roman" w:hAnsi="Times New Roman" w:cs="Times New Roman"/>
          <w:sz w:val="28"/>
          <w:szCs w:val="28"/>
        </w:rPr>
        <w:t xml:space="preserve"> Озернянської сільської</w:t>
      </w:r>
      <w:r w:rsidRPr="00C406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D97BB1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t>10. Заключні положення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>10.1. Зміни до цього Положення вносяться за рішенням Тернопільської міської ради.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lastRenderedPageBreak/>
        <w:t>10.2. Заповнені бланки для голосування, які в установленому порядку та внесені у систему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«Громадського бюджету» на підтримку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проєктів, підлягають знищенню на наступний день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після прийняття рішення Номінаційного комітету про визначення переможців.</w:t>
      </w:r>
    </w:p>
    <w:p w:rsidR="00C406A8" w:rsidRPr="00C406A8" w:rsidRDefault="00C406A8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8">
        <w:rPr>
          <w:rFonts w:ascii="Times New Roman" w:hAnsi="Times New Roman" w:cs="Times New Roman"/>
          <w:sz w:val="28"/>
          <w:szCs w:val="28"/>
        </w:rPr>
        <w:t xml:space="preserve">10.3. Інші документи, що супроводжують </w:t>
      </w:r>
      <w:proofErr w:type="spellStart"/>
      <w:r w:rsidRPr="00C406A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406A8">
        <w:rPr>
          <w:rFonts w:ascii="Times New Roman" w:hAnsi="Times New Roman" w:cs="Times New Roman"/>
          <w:sz w:val="28"/>
          <w:szCs w:val="28"/>
        </w:rPr>
        <w:t xml:space="preserve"> «Громадський бюджет» зберігаються</w:t>
      </w:r>
      <w:r w:rsidR="00D97BB1">
        <w:rPr>
          <w:rFonts w:ascii="Times New Roman" w:hAnsi="Times New Roman" w:cs="Times New Roman"/>
          <w:sz w:val="28"/>
          <w:szCs w:val="28"/>
        </w:rPr>
        <w:t xml:space="preserve"> </w:t>
      </w:r>
      <w:r w:rsidRPr="00C406A8">
        <w:rPr>
          <w:rFonts w:ascii="Times New Roman" w:hAnsi="Times New Roman" w:cs="Times New Roman"/>
          <w:sz w:val="28"/>
          <w:szCs w:val="28"/>
        </w:rPr>
        <w:t>впродовж 3 років.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06A8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 Назар РОМАНІВ</w:t>
      </w:r>
    </w:p>
    <w:p w:rsidR="00D97BB1" w:rsidRDefault="00D97BB1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BBD" w:rsidRDefault="006C0BBD" w:rsidP="00C406A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D97BB1" w:rsidRDefault="00D97BB1" w:rsidP="00712550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lastRenderedPageBreak/>
        <w:t>Додаток №1</w:t>
      </w:r>
    </w:p>
    <w:p w:rsidR="00D97BB1" w:rsidRPr="00D97BB1" w:rsidRDefault="00D97BB1" w:rsidP="00712550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7BB1">
        <w:rPr>
          <w:rFonts w:ascii="Times New Roman" w:hAnsi="Times New Roman" w:cs="Times New Roman"/>
          <w:b/>
          <w:sz w:val="28"/>
          <w:szCs w:val="28"/>
        </w:rPr>
        <w:t>до Положення</w:t>
      </w:r>
    </w:p>
    <w:p w:rsidR="00712550" w:rsidRDefault="00712550" w:rsidP="00712550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ГРОМАДСЬКИЙ ПРОЄКТ ДЛЯ РЕАЛІЗАЦІЇ У _______РОЦІ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Заповнюється Консультантом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8"/>
        <w:gridCol w:w="4288"/>
      </w:tblGrid>
      <w:tr w:rsidR="00712550" w:rsidRPr="006C0BBD" w:rsidTr="00712550">
        <w:trPr>
          <w:trHeight w:val="220"/>
        </w:trPr>
        <w:tc>
          <w:tcPr>
            <w:tcW w:w="4938" w:type="dxa"/>
          </w:tcPr>
          <w:p w:rsidR="00712550" w:rsidRPr="006C0BBD" w:rsidRDefault="00712550" w:rsidP="006C0BBD">
            <w:pPr>
              <w:spacing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BBD">
              <w:rPr>
                <w:rFonts w:ascii="Times New Roman" w:hAnsi="Times New Roman" w:cs="Times New Roman"/>
                <w:b/>
                <w:sz w:val="28"/>
                <w:szCs w:val="28"/>
              </w:rPr>
              <w:t>Дата видачі бюлетеня</w:t>
            </w:r>
          </w:p>
        </w:tc>
        <w:tc>
          <w:tcPr>
            <w:tcW w:w="4288" w:type="dxa"/>
            <w:shd w:val="clear" w:color="auto" w:fill="auto"/>
          </w:tcPr>
          <w:p w:rsidR="00712550" w:rsidRPr="006C0BBD" w:rsidRDefault="00712550" w:rsidP="006C0B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RPr="006C0BBD" w:rsidTr="00712550">
        <w:trPr>
          <w:trHeight w:val="243"/>
        </w:trPr>
        <w:tc>
          <w:tcPr>
            <w:tcW w:w="4938" w:type="dxa"/>
          </w:tcPr>
          <w:p w:rsidR="00712550" w:rsidRPr="006C0BBD" w:rsidRDefault="00712550" w:rsidP="006C0BBD">
            <w:pPr>
              <w:spacing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BBD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Реєстраційний номер бюлетеня</w:t>
            </w:r>
          </w:p>
        </w:tc>
        <w:tc>
          <w:tcPr>
            <w:tcW w:w="4288" w:type="dxa"/>
            <w:shd w:val="clear" w:color="auto" w:fill="auto"/>
          </w:tcPr>
          <w:p w:rsidR="00712550" w:rsidRPr="006C0BBD" w:rsidRDefault="00712550" w:rsidP="006C0B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RPr="006C0BBD" w:rsidTr="00712550">
        <w:trPr>
          <w:trHeight w:val="220"/>
        </w:trPr>
        <w:tc>
          <w:tcPr>
            <w:tcW w:w="4938" w:type="dxa"/>
          </w:tcPr>
          <w:p w:rsidR="00712550" w:rsidRPr="006C0BBD" w:rsidRDefault="00712550" w:rsidP="006C0BBD">
            <w:pPr>
              <w:spacing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BBD">
              <w:rPr>
                <w:rFonts w:ascii="Times New Roman" w:hAnsi="Times New Roman" w:cs="Times New Roman"/>
                <w:b/>
                <w:sz w:val="28"/>
                <w:szCs w:val="28"/>
              </w:rPr>
              <w:t>ПІБ працівника пункту голосування</w:t>
            </w:r>
          </w:p>
        </w:tc>
        <w:tc>
          <w:tcPr>
            <w:tcW w:w="4288" w:type="dxa"/>
            <w:shd w:val="clear" w:color="auto" w:fill="auto"/>
          </w:tcPr>
          <w:p w:rsidR="00712550" w:rsidRPr="006C0BBD" w:rsidRDefault="00712550" w:rsidP="006C0B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RPr="006C0BBD" w:rsidTr="00712550">
        <w:trPr>
          <w:trHeight w:val="655"/>
        </w:trPr>
        <w:tc>
          <w:tcPr>
            <w:tcW w:w="4938" w:type="dxa"/>
          </w:tcPr>
          <w:p w:rsidR="00712550" w:rsidRPr="006C0BBD" w:rsidRDefault="00712550" w:rsidP="006C0BBD">
            <w:pPr>
              <w:spacing w:line="240" w:lineRule="auto"/>
              <w:ind w:lef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BBD">
              <w:rPr>
                <w:rFonts w:ascii="Times New Roman" w:hAnsi="Times New Roman" w:cs="Times New Roman"/>
                <w:b/>
                <w:sz w:val="28"/>
                <w:szCs w:val="28"/>
              </w:rPr>
              <w:t>Підпис працівника пункту голосування</w:t>
            </w:r>
          </w:p>
        </w:tc>
        <w:tc>
          <w:tcPr>
            <w:tcW w:w="4288" w:type="dxa"/>
            <w:shd w:val="clear" w:color="auto" w:fill="auto"/>
          </w:tcPr>
          <w:p w:rsidR="00712550" w:rsidRPr="006C0BBD" w:rsidRDefault="00712550" w:rsidP="006C0BB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***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 xml:space="preserve">Інформація про </w:t>
      </w:r>
      <w:proofErr w:type="spellStart"/>
      <w:r w:rsidRPr="006C0BB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1.Назва проєкту* (не більше 10 слів)</w:t>
      </w:r>
    </w:p>
    <w:p w:rsidR="00712550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2.Категорія проєкту*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Безпека та громадський порядок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proofErr w:type="spellStart"/>
      <w:r w:rsidRPr="006C0BBD">
        <w:rPr>
          <w:rFonts w:ascii="Times New Roman" w:hAnsi="Times New Roman" w:cs="Times New Roman"/>
          <w:b/>
          <w:sz w:val="28"/>
          <w:szCs w:val="28"/>
        </w:rPr>
        <w:t>Велоінфраструктура</w:t>
      </w:r>
      <w:proofErr w:type="spellEnd"/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Житлово-комунальне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господарство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 xml:space="preserve"> Культура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 xml:space="preserve"> Транспорт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Навколишнє середовище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Освіта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Охорона здоров'я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Соціальний захист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Спорт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Segoe UI Symbol" w:hAnsi="Segoe UI Symbol" w:cs="Segoe UI Symbol"/>
          <w:b/>
          <w:sz w:val="28"/>
          <w:szCs w:val="28"/>
        </w:rPr>
        <w:t>☐</w:t>
      </w:r>
      <w:r w:rsidRPr="006C0BBD">
        <w:rPr>
          <w:rFonts w:ascii="Times New Roman" w:hAnsi="Times New Roman" w:cs="Times New Roman"/>
          <w:b/>
          <w:sz w:val="28"/>
          <w:szCs w:val="28"/>
        </w:rPr>
        <w:t>Телекомунікації, зв’язок та інформаційні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lastRenderedPageBreak/>
        <w:t>технології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3. Житловий масив / мікрорайон*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4. Адреси, назва установи / закладу, будинку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5. Короткий опис проєкту* (не більше 50 слів)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6. Мета проєкту*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7. Повний опис проєкту та прогнозний обсяг витрат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8. Проблема (передумови, обґрунтування необхідності реалізації проєкту)*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9. Пропоноване рішення вирішення проблеми і його обґрунтування*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10. План заходів з реалізації проєкту (роботи, послуги)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 xml:space="preserve">11. Для кого цей </w:t>
      </w:r>
      <w:proofErr w:type="spellStart"/>
      <w:r w:rsidRPr="006C0BB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6C0BBD">
        <w:rPr>
          <w:rFonts w:ascii="Times New Roman" w:hAnsi="Times New Roman" w:cs="Times New Roman"/>
          <w:b/>
          <w:sz w:val="28"/>
          <w:szCs w:val="28"/>
        </w:rPr>
        <w:t xml:space="preserve"> (основні групи жителів, які зможуть користуватись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результатами реалізації завдання)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12. Орієнтовна загальна вартість проєкту*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712550" w:rsidRPr="006C0BBD" w:rsidRDefault="00712550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13. Очікуваний термін реалізації проєкту*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  <w:r w:rsidR="00712550" w:rsidRPr="006C0BB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D97BB1" w:rsidRPr="006C0BBD" w:rsidRDefault="00D97BB1" w:rsidP="006C0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BD">
        <w:rPr>
          <w:rFonts w:ascii="Times New Roman" w:hAnsi="Times New Roman" w:cs="Times New Roman"/>
          <w:b/>
          <w:sz w:val="28"/>
          <w:szCs w:val="28"/>
        </w:rPr>
        <w:t>*Поля, позначені зірочкою, обов’язкові до заповнення</w:t>
      </w: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Default="00712550" w:rsidP="00D97BB1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550" w:rsidRPr="00712550" w:rsidRDefault="00712550" w:rsidP="00712550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12550">
        <w:rPr>
          <w:rFonts w:ascii="Times New Roman" w:hAnsi="Times New Roman" w:cs="Times New Roman"/>
          <w:b/>
          <w:sz w:val="28"/>
          <w:szCs w:val="28"/>
        </w:rPr>
        <w:lastRenderedPageBreak/>
        <w:t>БЮДЖЕТ ПРОЄКТУ</w:t>
      </w:r>
    </w:p>
    <w:p w:rsidR="00712550" w:rsidRPr="00712550" w:rsidRDefault="00712550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2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5"/>
        <w:gridCol w:w="1427"/>
        <w:gridCol w:w="1369"/>
        <w:gridCol w:w="1394"/>
      </w:tblGrid>
      <w:tr w:rsidR="00712550" w:rsidTr="00712550">
        <w:trPr>
          <w:trHeight w:val="1622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товарів(робіт, послуг)</w:t>
            </w: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Ціна за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одиницю, грн.</w:t>
            </w: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Одиниць</w:t>
            </w:r>
          </w:p>
        </w:tc>
        <w:tc>
          <w:tcPr>
            <w:tcW w:w="1394" w:type="dxa"/>
          </w:tcPr>
          <w:p w:rsidR="00712550" w:rsidRP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Вартість,</w:t>
            </w:r>
          </w:p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550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</w:tc>
      </w:tr>
      <w:tr w:rsidR="00712550" w:rsidTr="00712550">
        <w:trPr>
          <w:trHeight w:val="133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trHeight w:val="131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trHeight w:val="131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trHeight w:val="131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trHeight w:val="131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trHeight w:val="1318"/>
        </w:trPr>
        <w:tc>
          <w:tcPr>
            <w:tcW w:w="5435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2550" w:rsidTr="00712550">
        <w:trPr>
          <w:gridBefore w:val="3"/>
          <w:wBefore w:w="8231" w:type="dxa"/>
          <w:trHeight w:val="1387"/>
        </w:trPr>
        <w:tc>
          <w:tcPr>
            <w:tcW w:w="1394" w:type="dxa"/>
          </w:tcPr>
          <w:p w:rsidR="00712550" w:rsidRDefault="00712550" w:rsidP="0071255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7A34" w:rsidRDefault="00712550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ВСЬОГО:                  </w:t>
      </w: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7125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lastRenderedPageBreak/>
        <w:t>ВІДОМОСТІ ПРО АВТОРА ПРОЄКТУ</w:t>
      </w: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Автор (Лідер)проєкту: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Прізвище*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Ім’я*________________________________________________________________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</w:t>
      </w:r>
      <w:r w:rsidRPr="00257A34">
        <w:rPr>
          <w:rFonts w:ascii="Times New Roman" w:hAnsi="Times New Roman" w:cs="Times New Roman"/>
          <w:sz w:val="28"/>
          <w:szCs w:val="28"/>
        </w:rPr>
        <w:t>атькові*_________________________________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57A34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34">
        <w:rPr>
          <w:rFonts w:ascii="Times New Roman" w:hAnsi="Times New Roman" w:cs="Times New Roman"/>
          <w:sz w:val="28"/>
          <w:szCs w:val="28"/>
        </w:rPr>
        <w:t>народження(ДД/ММ/РРРР)*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Серія і номер паспорту (або посвідки на проживання)*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Телефон+380*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Адреса реєстрації*____________________________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Електронна пошта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Вік*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16–18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19–30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31–40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41–50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51–60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>60+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Рід занять*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Працюю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Безробітний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 xml:space="preserve">Пенсіонер </w:t>
      </w:r>
      <w:r w:rsidRPr="00257A34">
        <w:rPr>
          <w:rFonts w:ascii="Segoe UI Symbol" w:hAnsi="Segoe UI Symbol" w:cs="Segoe UI Symbol"/>
          <w:sz w:val="28"/>
          <w:szCs w:val="28"/>
        </w:rPr>
        <w:t>☐</w:t>
      </w:r>
      <w:r w:rsidRPr="00257A34">
        <w:rPr>
          <w:rFonts w:ascii="Times New Roman" w:hAnsi="Times New Roman" w:cs="Times New Roman"/>
          <w:sz w:val="28"/>
          <w:szCs w:val="28"/>
        </w:rPr>
        <w:t>Підприємець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Додатки до заявки*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1. Копія паспорту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2. Бюджет проєкту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3. Фото, схема, креслення, що демонструють очікуваний результат (за наявності)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4. Перелік із прізвищами, іменами, по батькові усіх авторів проєкту (за наявності)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Контактні дані автора/лідера проєкту будуть загальнодоступні, у тому числі для авторів інших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проєктів, жителів, представників засобів масової інформації з метою обміну думками,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інформацією, можливих узгоджень тощо (необхідне підкреслити)*: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висловлюю свою згоду на використання моєї електронної адреси та номера телефону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для зазначених вище цілей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Підпис особи, що дає згоду на використання своєї електронної адреси та номера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b/>
          <w:sz w:val="28"/>
          <w:szCs w:val="28"/>
        </w:rPr>
        <w:t>телефону</w:t>
      </w:r>
      <w:r w:rsidRPr="00257A34">
        <w:rPr>
          <w:rFonts w:ascii="Times New Roman" w:hAnsi="Times New Roman" w:cs="Times New Roman"/>
          <w:sz w:val="28"/>
          <w:szCs w:val="28"/>
        </w:rPr>
        <w:t xml:space="preserve"> .…………….….…………….….…………….….………………..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не висловлюю згоди на використання моєї електронної адреси та номера телефону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зазначених вище цілей.</w:t>
      </w: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Згода на обробку персональних даних*: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Відповідно до Закону України «Про захист персональних даних» від 01.06.2010 № 2297 – VI я,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(прізвище, ім’я та по-батькові повністю)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даю згоду на обробку моїх персональних даних вказаних в бланку-заяви міською радою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членам Номінаційного комітету, який створений розпорядженням міського голови, виключно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 xml:space="preserve">для реалізації «Громадського бюджету </w:t>
      </w:r>
      <w:r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Pr="00257A34">
        <w:rPr>
          <w:rFonts w:ascii="Times New Roman" w:hAnsi="Times New Roman" w:cs="Times New Roman"/>
          <w:sz w:val="28"/>
          <w:szCs w:val="28"/>
        </w:rPr>
        <w:t xml:space="preserve"> територіальної громади».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57A34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712550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57A34">
        <w:rPr>
          <w:rFonts w:ascii="Times New Roman" w:hAnsi="Times New Roman" w:cs="Times New Roman"/>
          <w:sz w:val="28"/>
          <w:szCs w:val="28"/>
        </w:rPr>
        <w:t>Підпис</w:t>
      </w:r>
      <w:r w:rsidR="00712550" w:rsidRPr="00257A3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lastRenderedPageBreak/>
        <w:t>Я погоджуюсь, що: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‣ заповнений бланк (за виключенням пунктів що містять персональні дані) будуть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оприлюднені у Е-сервісі «Громадський бюджет»;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‣ на можливість зміни, об’єднання проєкту з іншими завданнями, а також його реалізації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поточному режимі;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‣ можливе уточнення проєкту, якщо його реалізація суперечитиме Законам України чи сума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для реалізації в ______ році перевищить максимальний обсяг коштів, визначених на 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реалізацію.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257A3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57A3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7A34">
        <w:rPr>
          <w:rFonts w:ascii="Times New Roman" w:hAnsi="Times New Roman" w:cs="Times New Roman"/>
          <w:sz w:val="28"/>
          <w:szCs w:val="28"/>
        </w:rPr>
        <w:t>Підпис автора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A34">
        <w:rPr>
          <w:rFonts w:ascii="Times New Roman" w:hAnsi="Times New Roman" w:cs="Times New Roman"/>
          <w:sz w:val="28"/>
          <w:szCs w:val="28"/>
        </w:rPr>
        <w:t xml:space="preserve"> ПІБ автора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*Поля, позначені зірочкою, обов’язкові до заповнення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,,,,,,,,,,,,,,,,,,,,,,,,,,,,,,,,,,,,,,,,,,,,,,,,,,,,,,,,,,,,,,,,,,,,,,,,,,,,,,,,,,,,,,,,,,,,,,,,,,,,,,,,,,,,,,,,,,,,,,,,,,,,,,,,,,,,,,,,,</w:t>
      </w: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КВИТАНЦІЯ ПРО ПРИЙОМ ПРОЄКТУ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Заповнюється Консультантом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Дата надходження: 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Номер у реєстрації проєктів: 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ПІП та підпис особи, що реєструє: _______________________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,,,,,,,,,,,,,,,,,,,,,,,,,,,,,,,,,,,,,,,,,,,,,,,,,,,,,,,,,,,,,,,,,,,,,,,,,,,,,,,,,,,,,,,,,,,,,,,,,,,,,,,,,,,,,,,,,,,,,,,,,,,,,,,,,,,,,,,,,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lastRenderedPageBreak/>
        <w:t>АНАЛІЗ ВІДПОВІДНОСТІ ПРОЄКТУ</w:t>
      </w: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ВІДПОВІДНОСТІ ЗАКОНОДАВСТВУ ТА МОЖЛИВОСТІ ЙОГО РЕАЛІЗАЦІЇ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Назва проєкту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b/>
          <w:sz w:val="28"/>
          <w:szCs w:val="28"/>
        </w:rPr>
        <w:t>Відповідальний</w:t>
      </w:r>
      <w:r w:rsidRPr="00257A34">
        <w:rPr>
          <w:rFonts w:ascii="Times New Roman" w:hAnsi="Times New Roman" w:cs="Times New Roman"/>
          <w:sz w:val="28"/>
          <w:szCs w:val="28"/>
        </w:rPr>
        <w:t>:…………………………………………………………………… (назва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структурного підрозділу виконавчого органу міської ради, відповідальний за аналіз проєкту)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Зміст: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1. Включено до реєстру поданих проєктів за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2. Запропонований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входить до повноважень Тернопільської міської ради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ні (чому?)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3. Запропонований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відповідає чинному законодавству, в тому числі рішенням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сільскої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ні (чому?)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4. Реалізація запропонованого проєкту відбуватиметься впродовж одного бюджетного року: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ні (чому?)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5. Висновок щодо технічних можливостей виконання запропонованого завдання: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позитивний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негативний (чому?)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не передбачає виключно розробку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>-кошторисної документації: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ні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має завершений характер (виконання заходів в майбутньому не вимагатиме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прийняття подальших заходів та не потребуватиме додаткового виділення коштів з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громади):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а) так 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lastRenderedPageBreak/>
        <w:t>б) ні (обґрунтування неможливості реалізації заходів впродовж встановленого періоду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реалізації)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не суперечить діючим програмам розвитку громади та не дублює завдання,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передбачені цими програмами і плануються для реалізації на відповідний бюджетний рік: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ні (обґрунтування в </w:t>
      </w:r>
      <w:r w:rsidRPr="00257A34">
        <w:rPr>
          <w:rFonts w:ascii="Times New Roman" w:hAnsi="Times New Roman" w:cs="Times New Roman"/>
          <w:sz w:val="28"/>
          <w:szCs w:val="28"/>
        </w:rPr>
        <w:t xml:space="preserve"> якій частині суперечить вимогам)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9. Реалізація проєкту не планується на землях або об’єктах приватної форми власності (крім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ОСББ):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 xml:space="preserve">ні 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10. У рамках проєкту не передбачено витрати на утримання та обслуговування у сумі,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A34">
        <w:rPr>
          <w:rFonts w:ascii="Times New Roman" w:hAnsi="Times New Roman" w:cs="Times New Roman"/>
          <w:sz w:val="28"/>
          <w:szCs w:val="28"/>
        </w:rPr>
        <w:t>перевищує вартість реалізації проєкту;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так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ні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11. Територія/земельна ділянка, на якій відбуватиметься реалізація запропонованого проєкту: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 xml:space="preserve">а) є такою, на якій можливо здійснювати реалізацію відповідного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за рахунок </w:t>
      </w:r>
      <w:proofErr w:type="spellStart"/>
      <w:r w:rsidRPr="00257A34">
        <w:rPr>
          <w:rFonts w:ascii="Times New Roman" w:hAnsi="Times New Roman" w:cs="Times New Roman"/>
          <w:sz w:val="28"/>
          <w:szCs w:val="28"/>
        </w:rPr>
        <w:t>коштівбюджету</w:t>
      </w:r>
      <w:proofErr w:type="spellEnd"/>
      <w:r w:rsidRPr="00257A34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не належить до переліку територій, на яких можливо здійснювати реалізацію відповідного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проєкту за рахунок коштів бюджету громади(обґрунтування)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 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в) не стосується проєкту.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12. Витрати за кошторисом, призначеного на реалізацію запропонованого завдання: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а) без додаткових зауважень</w:t>
      </w:r>
    </w:p>
    <w:p w:rsidR="00257A34" w:rsidRP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б) з зауваженнями (необхідно внести або уточнити їх, використовуючи для обґрунтування</w:t>
      </w:r>
    </w:p>
    <w:p w:rsidR="00257A34" w:rsidRDefault="00257A34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A34">
        <w:rPr>
          <w:rFonts w:ascii="Times New Roman" w:hAnsi="Times New Roman" w:cs="Times New Roman"/>
          <w:sz w:val="28"/>
          <w:szCs w:val="28"/>
        </w:rPr>
        <w:t>дані, наведені в таблиці нижче)</w:t>
      </w:r>
      <w:r w:rsidRPr="00257A34">
        <w:rPr>
          <w:rFonts w:ascii="Times New Roman" w:hAnsi="Times New Roman" w:cs="Times New Roman"/>
          <w:sz w:val="28"/>
          <w:szCs w:val="28"/>
        </w:rPr>
        <w:cr/>
      </w:r>
    </w:p>
    <w:p w:rsidR="006478B5" w:rsidRDefault="006478B5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9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9"/>
        <w:gridCol w:w="1460"/>
        <w:gridCol w:w="1308"/>
        <w:gridCol w:w="1242"/>
        <w:gridCol w:w="6"/>
        <w:gridCol w:w="1454"/>
        <w:gridCol w:w="1308"/>
        <w:gridCol w:w="1242"/>
      </w:tblGrid>
      <w:tr w:rsidR="006478B5" w:rsidTr="006478B5">
        <w:trPr>
          <w:trHeight w:val="912"/>
        </w:trPr>
        <w:tc>
          <w:tcPr>
            <w:tcW w:w="1969" w:type="dxa"/>
            <w:vMerge w:val="restart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4010" w:type="dxa"/>
            <w:gridSpan w:val="3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Запропоноване автором проекту</w:t>
            </w:r>
          </w:p>
        </w:tc>
        <w:tc>
          <w:tcPr>
            <w:tcW w:w="4010" w:type="dxa"/>
            <w:gridSpan w:val="4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Пропозиції експертної групи</w:t>
            </w:r>
          </w:p>
        </w:tc>
      </w:tr>
      <w:tr w:rsidR="006478B5" w:rsidTr="006478B5">
        <w:trPr>
          <w:trHeight w:val="948"/>
        </w:trPr>
        <w:tc>
          <w:tcPr>
            <w:tcW w:w="1969" w:type="dxa"/>
            <w:vMerge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Необхідна кількість</w:t>
            </w: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Ціна, за одиницю</w:t>
            </w: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</w:p>
        </w:tc>
        <w:tc>
          <w:tcPr>
            <w:tcW w:w="1460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Необхідна кількість</w:t>
            </w: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Ціна, за одиницю</w:t>
            </w: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</w:p>
        </w:tc>
      </w:tr>
      <w:tr w:rsidR="006478B5" w:rsidTr="006478B5">
        <w:trPr>
          <w:trHeight w:val="852"/>
        </w:trPr>
        <w:tc>
          <w:tcPr>
            <w:tcW w:w="1969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56"/>
        </w:trPr>
        <w:tc>
          <w:tcPr>
            <w:tcW w:w="1969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92"/>
        </w:trPr>
        <w:tc>
          <w:tcPr>
            <w:tcW w:w="1969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92"/>
        </w:trPr>
        <w:tc>
          <w:tcPr>
            <w:tcW w:w="1969" w:type="dxa"/>
            <w:tcBorders>
              <w:bottom w:val="single" w:sz="4" w:space="0" w:color="auto"/>
            </w:tcBorders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92"/>
        </w:trPr>
        <w:tc>
          <w:tcPr>
            <w:tcW w:w="1969" w:type="dxa"/>
            <w:tcBorders>
              <w:bottom w:val="single" w:sz="4" w:space="0" w:color="auto"/>
            </w:tcBorders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92"/>
        </w:trPr>
        <w:tc>
          <w:tcPr>
            <w:tcW w:w="1969" w:type="dxa"/>
            <w:tcBorders>
              <w:bottom w:val="single" w:sz="4" w:space="0" w:color="auto"/>
            </w:tcBorders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B5" w:rsidTr="006478B5">
        <w:trPr>
          <w:trHeight w:val="1092"/>
        </w:trPr>
        <w:tc>
          <w:tcPr>
            <w:tcW w:w="1969" w:type="dxa"/>
            <w:tcBorders>
              <w:bottom w:val="single" w:sz="4" w:space="0" w:color="auto"/>
            </w:tcBorders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478B5" w:rsidRDefault="006478B5" w:rsidP="00257A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8B5" w:rsidRDefault="006478B5" w:rsidP="00257A3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Загальна сума …………………….…... грн.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Обґрунтування: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13. Висновки і погодження/узгодження з іншими структурними підрозділами виконавчого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 xml:space="preserve">органу </w:t>
      </w:r>
      <w:r>
        <w:rPr>
          <w:rFonts w:ascii="Times New Roman" w:hAnsi="Times New Roman" w:cs="Times New Roman"/>
          <w:sz w:val="28"/>
          <w:szCs w:val="28"/>
        </w:rPr>
        <w:t>сільської</w:t>
      </w:r>
      <w:r w:rsidRPr="006478B5">
        <w:rPr>
          <w:rFonts w:ascii="Times New Roman" w:hAnsi="Times New Roman" w:cs="Times New Roman"/>
          <w:sz w:val="28"/>
          <w:szCs w:val="28"/>
        </w:rPr>
        <w:t xml:space="preserve"> ради щодо можливості реалізації завдан</w:t>
      </w:r>
      <w:r>
        <w:rPr>
          <w:rFonts w:ascii="Times New Roman" w:hAnsi="Times New Roman" w:cs="Times New Roman"/>
          <w:sz w:val="28"/>
          <w:szCs w:val="28"/>
        </w:rPr>
        <w:t xml:space="preserve">ня, </w:t>
      </w:r>
      <w:r w:rsidRPr="006478B5">
        <w:rPr>
          <w:rFonts w:ascii="Times New Roman" w:hAnsi="Times New Roman" w:cs="Times New Roman"/>
          <w:sz w:val="28"/>
          <w:szCs w:val="28"/>
        </w:rPr>
        <w:t>ситуації та умов, в яких реалізація завдання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 xml:space="preserve">може суперечити/перешкоджати реалізації інших завдань або </w:t>
      </w:r>
      <w:r>
        <w:rPr>
          <w:rFonts w:ascii="Times New Roman" w:hAnsi="Times New Roman" w:cs="Times New Roman"/>
          <w:sz w:val="28"/>
          <w:szCs w:val="28"/>
        </w:rPr>
        <w:t>сільських</w:t>
      </w:r>
      <w:r w:rsidRPr="006478B5">
        <w:rPr>
          <w:rFonts w:ascii="Times New Roman" w:hAnsi="Times New Roman" w:cs="Times New Roman"/>
          <w:sz w:val="28"/>
          <w:szCs w:val="28"/>
        </w:rPr>
        <w:t xml:space="preserve"> інвестицій,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>стосуються даної земельної ділянки/території або будинку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lastRenderedPageBreak/>
        <w:t>9. Висновок щодо внесення проєкту до реєстру проєктів, які допускаються до голосування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>(а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>також опис передумов, які можуть зашкодити реалізації завдання та інші зауваження, що 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B5">
        <w:rPr>
          <w:rFonts w:ascii="Times New Roman" w:hAnsi="Times New Roman" w:cs="Times New Roman"/>
          <w:sz w:val="28"/>
          <w:szCs w:val="28"/>
        </w:rPr>
        <w:t>важливими для реалізації запропонованого завдання):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а) позитивний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б) негативний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Обґрунтування/зауваження: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Підпис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>ПІБ керівника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підрозділу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478B5">
        <w:rPr>
          <w:rFonts w:ascii="Times New Roman" w:hAnsi="Times New Roman" w:cs="Times New Roman"/>
          <w:sz w:val="28"/>
          <w:szCs w:val="28"/>
        </w:rPr>
        <w:t>виконавчого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органу </w:t>
      </w:r>
      <w:r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Pr="006478B5">
        <w:rPr>
          <w:rFonts w:ascii="Times New Roman" w:hAnsi="Times New Roman" w:cs="Times New Roman"/>
          <w:sz w:val="28"/>
          <w:szCs w:val="28"/>
        </w:rPr>
        <w:t>ради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Pr="006478B5" w:rsidRDefault="006478B5" w:rsidP="006478B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8B5">
        <w:rPr>
          <w:rFonts w:ascii="Times New Roman" w:hAnsi="Times New Roman" w:cs="Times New Roman"/>
          <w:b/>
          <w:sz w:val="28"/>
          <w:szCs w:val="28"/>
        </w:rPr>
        <w:lastRenderedPageBreak/>
        <w:t>ВИСНОВОК ЩОДО ПРИЙНЯТТЯ ПРОЄКТУ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Назва проєкту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до голосування для реалізації у __________році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8B5">
        <w:rPr>
          <w:rFonts w:ascii="Times New Roman" w:hAnsi="Times New Roman" w:cs="Times New Roman"/>
          <w:b/>
          <w:sz w:val="28"/>
          <w:szCs w:val="28"/>
        </w:rPr>
        <w:t xml:space="preserve">Відповідальний підрозділ: 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Зміст заходу: перевірка повноти та правильності заповнення бланку-заяви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 xml:space="preserve">1.Включено до реєстру поданих проєктів за № 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2. Автор проєкту надав правдиві відомості про себе: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а) так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б) ні (пояснення, вказати яка інформація не відповідає дійсності)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3. Автор проєкту надав достатньо інформації щодо проєкту: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а) так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б) ні (пояснення, вказати якої інформації не вистачає)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4. Висновок відповідального підрозділу: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а) позитивний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б) негативний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5. Висновок щодо подання проєкту на голосування 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а) позитивний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б) негативний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Обґрунтування/зауваження: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Підпис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>ПІБ голови Комітету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Pr="006478B5" w:rsidRDefault="006478B5" w:rsidP="006478B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8B5">
        <w:rPr>
          <w:rFonts w:ascii="Times New Roman" w:hAnsi="Times New Roman" w:cs="Times New Roman"/>
          <w:b/>
          <w:sz w:val="28"/>
          <w:szCs w:val="28"/>
        </w:rPr>
        <w:lastRenderedPageBreak/>
        <w:t>БЛАНК ГОЛОСУВАННЯ ЗА ГРОМАДСЬКІ ПРОЄКТИ ДЛЯ</w:t>
      </w:r>
    </w:p>
    <w:p w:rsidR="006478B5" w:rsidRPr="006478B5" w:rsidRDefault="006478B5" w:rsidP="006478B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8B5">
        <w:rPr>
          <w:rFonts w:ascii="Times New Roman" w:hAnsi="Times New Roman" w:cs="Times New Roman"/>
          <w:b/>
          <w:sz w:val="28"/>
          <w:szCs w:val="28"/>
        </w:rPr>
        <w:t>РЕАЛІЗАЦІЇ У ______________РОЦІ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Прізвище____________________________________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Ім'я_________________________________________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</w:t>
      </w:r>
      <w:r w:rsidRPr="006478B5">
        <w:rPr>
          <w:rFonts w:ascii="Times New Roman" w:hAnsi="Times New Roman" w:cs="Times New Roman"/>
          <w:sz w:val="28"/>
          <w:szCs w:val="28"/>
        </w:rPr>
        <w:t>батькові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Дата народження (ДД/ММ/РРРР)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Серія і номер паспорту (або посвідки на проживання)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6478B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Адреса реєстрації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6478B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Номери проєктів, за які голосуєте (один великий та/або один малий)</w:t>
      </w:r>
    </w:p>
    <w:tbl>
      <w:tblPr>
        <w:tblW w:w="0" w:type="auto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4"/>
      </w:tblGrid>
      <w:tr w:rsidR="006478B5" w:rsidTr="006478B5">
        <w:trPr>
          <w:trHeight w:val="2844"/>
        </w:trPr>
        <w:tc>
          <w:tcPr>
            <w:tcW w:w="9564" w:type="dxa"/>
          </w:tcPr>
          <w:p w:rsidR="006478B5" w:rsidRDefault="006478B5" w:rsidP="006478B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*Усі поля обов’язкові для заповнення. Незаповнені бланки визнаються недійсними.</w:t>
      </w:r>
    </w:p>
    <w:p w:rsidR="006478B5" w:rsidRPr="006478B5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6478B5" w:rsidRPr="00257A34" w:rsidRDefault="006478B5" w:rsidP="006478B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8B5">
        <w:rPr>
          <w:rFonts w:ascii="Times New Roman" w:hAnsi="Times New Roman" w:cs="Times New Roman"/>
          <w:sz w:val="28"/>
          <w:szCs w:val="28"/>
        </w:rPr>
        <w:t>Підпис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6478B5">
        <w:rPr>
          <w:rFonts w:ascii="Times New Roman" w:hAnsi="Times New Roman" w:cs="Times New Roman"/>
          <w:sz w:val="28"/>
          <w:szCs w:val="28"/>
        </w:rPr>
        <w:t xml:space="preserve"> Дата</w:t>
      </w:r>
    </w:p>
    <w:sectPr w:rsidR="006478B5" w:rsidRPr="00257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30A"/>
    <w:multiLevelType w:val="hybridMultilevel"/>
    <w:tmpl w:val="C70C9B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A626F"/>
    <w:multiLevelType w:val="hybridMultilevel"/>
    <w:tmpl w:val="10A4DC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196"/>
    <w:multiLevelType w:val="hybridMultilevel"/>
    <w:tmpl w:val="D6A2C5D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14FE3"/>
    <w:multiLevelType w:val="hybridMultilevel"/>
    <w:tmpl w:val="BFD4E394"/>
    <w:lvl w:ilvl="0" w:tplc="5C8CCE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66741"/>
    <w:multiLevelType w:val="hybridMultilevel"/>
    <w:tmpl w:val="CA34D53E"/>
    <w:lvl w:ilvl="0" w:tplc="8BE430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E6304"/>
    <w:multiLevelType w:val="hybridMultilevel"/>
    <w:tmpl w:val="D69A89AE"/>
    <w:lvl w:ilvl="0" w:tplc="8BE430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B1EAA"/>
    <w:multiLevelType w:val="hybridMultilevel"/>
    <w:tmpl w:val="5128F5FA"/>
    <w:lvl w:ilvl="0" w:tplc="8BE430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0F"/>
    <w:rsid w:val="00257A34"/>
    <w:rsid w:val="0042190F"/>
    <w:rsid w:val="006478B5"/>
    <w:rsid w:val="006A4E0E"/>
    <w:rsid w:val="006C0BBD"/>
    <w:rsid w:val="00712550"/>
    <w:rsid w:val="00BE3BCC"/>
    <w:rsid w:val="00C406A8"/>
    <w:rsid w:val="00D97BB1"/>
    <w:rsid w:val="00E6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8EFD"/>
  <w15:chartTrackingRefBased/>
  <w15:docId w15:val="{5C2C877E-43F5-4D28-92B3-CA2A5124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27557</Words>
  <Characters>15709</Characters>
  <Application>Microsoft Office Word</Application>
  <DocSecurity>0</DocSecurity>
  <Lines>130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2021-10-21T06:25:00Z</dcterms:created>
  <dcterms:modified xsi:type="dcterms:W3CDTF">2021-10-21T06:25:00Z</dcterms:modified>
</cp:coreProperties>
</file>