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0BD6" w:rsidRPr="00173CE3" w:rsidRDefault="00A70BD6" w:rsidP="00A70BD6">
      <w:pPr>
        <w:tabs>
          <w:tab w:val="left" w:pos="709"/>
          <w:tab w:val="left" w:pos="993"/>
          <w:tab w:val="left" w:pos="1134"/>
        </w:tabs>
        <w:spacing w:after="240" w:line="300" w:lineRule="exact"/>
        <w:ind w:firstLine="709"/>
        <w:jc w:val="center"/>
        <w:rPr>
          <w:rFonts w:ascii="Times New Roman" w:hAnsi="Times New Roman"/>
          <w:b/>
          <w:sz w:val="24"/>
          <w:szCs w:val="24"/>
        </w:rPr>
      </w:pPr>
      <w:bookmarkStart w:id="0" w:name="_GoBack"/>
      <w:r w:rsidRPr="00173CE3">
        <w:rPr>
          <w:rFonts w:ascii="Times New Roman" w:hAnsi="Times New Roman"/>
          <w:b/>
          <w:sz w:val="24"/>
          <w:szCs w:val="24"/>
        </w:rPr>
        <w:t>61% отримувачів щомісячних страхових виплат від Фонду досягли пенсійного віку</w:t>
      </w:r>
      <w:bookmarkEnd w:id="0"/>
    </w:p>
    <w:p w:rsidR="00A70BD6" w:rsidRPr="00173CE3" w:rsidRDefault="00A70BD6" w:rsidP="00A70BD6">
      <w:pPr>
        <w:tabs>
          <w:tab w:val="left" w:pos="709"/>
          <w:tab w:val="left" w:pos="993"/>
          <w:tab w:val="left" w:pos="1134"/>
        </w:tabs>
        <w:spacing w:after="240" w:line="300" w:lineRule="exact"/>
        <w:ind w:firstLine="709"/>
        <w:jc w:val="both"/>
        <w:rPr>
          <w:rFonts w:ascii="Times New Roman" w:hAnsi="Times New Roman"/>
          <w:sz w:val="24"/>
          <w:szCs w:val="24"/>
        </w:rPr>
      </w:pPr>
      <w:r w:rsidRPr="00173CE3">
        <w:rPr>
          <w:rFonts w:ascii="Times New Roman" w:hAnsi="Times New Roman"/>
          <w:sz w:val="24"/>
          <w:szCs w:val="24"/>
        </w:rPr>
        <w:t>Фонд соціального страхування України фінансує щомісячні страхові виплати для понад 205 тисяч потерпілих на виробництві та членів їх сімей. З них 125 тисяч, або 61% осіб досягли пенсійного віку.</w:t>
      </w:r>
    </w:p>
    <w:p w:rsidR="00A70BD6" w:rsidRPr="00173CE3" w:rsidRDefault="00A70BD6" w:rsidP="00A70BD6">
      <w:pPr>
        <w:tabs>
          <w:tab w:val="left" w:pos="709"/>
          <w:tab w:val="left" w:pos="993"/>
          <w:tab w:val="left" w:pos="1134"/>
        </w:tabs>
        <w:spacing w:after="240" w:line="300" w:lineRule="exact"/>
        <w:ind w:firstLine="709"/>
        <w:jc w:val="both"/>
        <w:rPr>
          <w:rFonts w:ascii="Times New Roman" w:hAnsi="Times New Roman"/>
          <w:sz w:val="24"/>
          <w:szCs w:val="24"/>
        </w:rPr>
      </w:pPr>
      <w:r w:rsidRPr="00173CE3">
        <w:rPr>
          <w:rFonts w:ascii="Times New Roman" w:hAnsi="Times New Roman"/>
          <w:sz w:val="24"/>
          <w:szCs w:val="24"/>
        </w:rPr>
        <w:t xml:space="preserve">Щомісячна страхова виплата здійснюється Фондом з метою компенсації потерпілому втраченого через травму або профзахворювання заробітку. Право на її отримання мають усі застраховані особи, постраждалі внаслідок трудової діяльності, яким висновком МСЕК встановлено стійку втрату професійної працездатності. Особи пенсійного віку, які продовжують працювати, </w:t>
      </w:r>
      <w:r>
        <w:rPr>
          <w:rFonts w:ascii="Times New Roman" w:hAnsi="Times New Roman"/>
          <w:sz w:val="24"/>
          <w:szCs w:val="24"/>
        </w:rPr>
        <w:t xml:space="preserve">є застрахованими особами, а, </w:t>
      </w:r>
      <w:r w:rsidRPr="00173CE3">
        <w:rPr>
          <w:rFonts w:ascii="Times New Roman" w:hAnsi="Times New Roman"/>
          <w:sz w:val="24"/>
          <w:szCs w:val="24"/>
        </w:rPr>
        <w:t>отже</w:t>
      </w:r>
      <w:r>
        <w:rPr>
          <w:rFonts w:ascii="Times New Roman" w:hAnsi="Times New Roman"/>
          <w:sz w:val="24"/>
          <w:szCs w:val="24"/>
        </w:rPr>
        <w:t>,</w:t>
      </w:r>
      <w:r w:rsidRPr="00173CE3">
        <w:rPr>
          <w:rFonts w:ascii="Times New Roman" w:hAnsi="Times New Roman"/>
          <w:sz w:val="24"/>
          <w:szCs w:val="24"/>
        </w:rPr>
        <w:t xml:space="preserve"> мають право на призначення їм виплат у разі настання страхового випадку.</w:t>
      </w:r>
    </w:p>
    <w:p w:rsidR="00A70BD6" w:rsidRPr="00173CE3" w:rsidRDefault="00A70BD6" w:rsidP="00A70BD6">
      <w:pPr>
        <w:tabs>
          <w:tab w:val="left" w:pos="709"/>
          <w:tab w:val="left" w:pos="993"/>
          <w:tab w:val="left" w:pos="1134"/>
        </w:tabs>
        <w:spacing w:after="240" w:line="300" w:lineRule="exact"/>
        <w:ind w:firstLine="709"/>
        <w:jc w:val="both"/>
        <w:rPr>
          <w:rFonts w:ascii="Times New Roman" w:hAnsi="Times New Roman"/>
          <w:sz w:val="24"/>
          <w:szCs w:val="24"/>
        </w:rPr>
      </w:pPr>
      <w:r w:rsidRPr="00173CE3">
        <w:rPr>
          <w:rFonts w:ascii="Times New Roman" w:hAnsi="Times New Roman"/>
          <w:sz w:val="24"/>
          <w:szCs w:val="24"/>
        </w:rPr>
        <w:t xml:space="preserve">Нагадаємо, сума щомісячної страхової виплати </w:t>
      </w:r>
      <w:r w:rsidRPr="00173CE3">
        <w:rPr>
          <w:rFonts w:ascii="Times New Roman" w:hAnsi="Times New Roman" w:hint="eastAsia"/>
          <w:sz w:val="24"/>
          <w:szCs w:val="24"/>
        </w:rPr>
        <w:t>встановлюється</w:t>
      </w:r>
      <w:r w:rsidRPr="00173CE3">
        <w:rPr>
          <w:rFonts w:ascii="Times New Roman" w:hAnsi="Times New Roman"/>
          <w:sz w:val="24"/>
          <w:szCs w:val="24"/>
        </w:rPr>
        <w:t xml:space="preserve"> </w:t>
      </w:r>
      <w:r w:rsidRPr="00173CE3">
        <w:rPr>
          <w:rFonts w:ascii="Times New Roman" w:hAnsi="Times New Roman" w:hint="eastAsia"/>
          <w:sz w:val="24"/>
          <w:szCs w:val="24"/>
        </w:rPr>
        <w:t>відповідно</w:t>
      </w:r>
      <w:r w:rsidRPr="00173CE3">
        <w:rPr>
          <w:rFonts w:ascii="Times New Roman" w:hAnsi="Times New Roman"/>
          <w:sz w:val="24"/>
          <w:szCs w:val="24"/>
        </w:rPr>
        <w:t xml:space="preserve"> </w:t>
      </w:r>
      <w:r w:rsidRPr="00173CE3">
        <w:rPr>
          <w:rFonts w:ascii="Times New Roman" w:hAnsi="Times New Roman" w:hint="eastAsia"/>
          <w:sz w:val="24"/>
          <w:szCs w:val="24"/>
        </w:rPr>
        <w:t>до</w:t>
      </w:r>
      <w:r w:rsidRPr="00173CE3">
        <w:rPr>
          <w:rFonts w:ascii="Times New Roman" w:hAnsi="Times New Roman"/>
          <w:sz w:val="24"/>
          <w:szCs w:val="24"/>
        </w:rPr>
        <w:t xml:space="preserve"> </w:t>
      </w:r>
      <w:r w:rsidRPr="00173CE3">
        <w:rPr>
          <w:rFonts w:ascii="Times New Roman" w:hAnsi="Times New Roman" w:hint="eastAsia"/>
          <w:sz w:val="24"/>
          <w:szCs w:val="24"/>
        </w:rPr>
        <w:t>ступеня</w:t>
      </w:r>
      <w:r w:rsidRPr="00173CE3">
        <w:rPr>
          <w:rFonts w:ascii="Times New Roman" w:hAnsi="Times New Roman"/>
          <w:sz w:val="24"/>
          <w:szCs w:val="24"/>
        </w:rPr>
        <w:t xml:space="preserve"> </w:t>
      </w:r>
      <w:r w:rsidRPr="00173CE3">
        <w:rPr>
          <w:rFonts w:ascii="Times New Roman" w:hAnsi="Times New Roman" w:hint="eastAsia"/>
          <w:sz w:val="24"/>
          <w:szCs w:val="24"/>
        </w:rPr>
        <w:t>втрати</w:t>
      </w:r>
      <w:r w:rsidRPr="00173CE3">
        <w:rPr>
          <w:rFonts w:ascii="Times New Roman" w:hAnsi="Times New Roman"/>
          <w:sz w:val="24"/>
          <w:szCs w:val="24"/>
        </w:rPr>
        <w:t xml:space="preserve"> </w:t>
      </w:r>
      <w:r w:rsidRPr="00173CE3">
        <w:rPr>
          <w:rFonts w:ascii="Times New Roman" w:hAnsi="Times New Roman" w:hint="eastAsia"/>
          <w:sz w:val="24"/>
          <w:szCs w:val="24"/>
        </w:rPr>
        <w:t>професійної</w:t>
      </w:r>
      <w:r w:rsidRPr="00173CE3">
        <w:rPr>
          <w:rFonts w:ascii="Times New Roman" w:hAnsi="Times New Roman"/>
          <w:sz w:val="24"/>
          <w:szCs w:val="24"/>
        </w:rPr>
        <w:t xml:space="preserve"> </w:t>
      </w:r>
      <w:r w:rsidRPr="00173CE3">
        <w:rPr>
          <w:rFonts w:ascii="Times New Roman" w:hAnsi="Times New Roman" w:hint="eastAsia"/>
          <w:sz w:val="24"/>
          <w:szCs w:val="24"/>
        </w:rPr>
        <w:t>працездатності</w:t>
      </w:r>
      <w:r w:rsidRPr="00173CE3">
        <w:rPr>
          <w:rFonts w:ascii="Times New Roman" w:hAnsi="Times New Roman"/>
          <w:sz w:val="24"/>
          <w:szCs w:val="24"/>
        </w:rPr>
        <w:t xml:space="preserve"> </w:t>
      </w:r>
      <w:r w:rsidRPr="00173CE3">
        <w:rPr>
          <w:rFonts w:ascii="Times New Roman" w:hAnsi="Times New Roman" w:hint="eastAsia"/>
          <w:sz w:val="24"/>
          <w:szCs w:val="24"/>
        </w:rPr>
        <w:t>та</w:t>
      </w:r>
      <w:r w:rsidRPr="00173CE3">
        <w:rPr>
          <w:rFonts w:ascii="Times New Roman" w:hAnsi="Times New Roman"/>
          <w:sz w:val="24"/>
          <w:szCs w:val="24"/>
        </w:rPr>
        <w:t xml:space="preserve"> </w:t>
      </w:r>
      <w:r w:rsidRPr="00173CE3">
        <w:rPr>
          <w:rFonts w:ascii="Times New Roman" w:hAnsi="Times New Roman" w:hint="eastAsia"/>
          <w:sz w:val="24"/>
          <w:szCs w:val="24"/>
        </w:rPr>
        <w:t>середньомісячного</w:t>
      </w:r>
      <w:r w:rsidRPr="00173CE3">
        <w:rPr>
          <w:rFonts w:ascii="Times New Roman" w:hAnsi="Times New Roman"/>
          <w:sz w:val="24"/>
          <w:szCs w:val="24"/>
        </w:rPr>
        <w:t xml:space="preserve"> </w:t>
      </w:r>
      <w:r w:rsidRPr="00173CE3">
        <w:rPr>
          <w:rFonts w:ascii="Times New Roman" w:hAnsi="Times New Roman" w:hint="eastAsia"/>
          <w:sz w:val="24"/>
          <w:szCs w:val="24"/>
        </w:rPr>
        <w:t>заробітку</w:t>
      </w:r>
      <w:r w:rsidRPr="00173CE3">
        <w:rPr>
          <w:rFonts w:ascii="Times New Roman" w:hAnsi="Times New Roman"/>
          <w:sz w:val="24"/>
          <w:szCs w:val="24"/>
        </w:rPr>
        <w:t xml:space="preserve">, який особа </w:t>
      </w:r>
      <w:r w:rsidRPr="00173CE3">
        <w:rPr>
          <w:rFonts w:ascii="Times New Roman" w:hAnsi="Times New Roman" w:hint="eastAsia"/>
          <w:sz w:val="24"/>
          <w:szCs w:val="24"/>
        </w:rPr>
        <w:t>ма</w:t>
      </w:r>
      <w:r w:rsidRPr="00173CE3">
        <w:rPr>
          <w:rFonts w:ascii="Times New Roman" w:hAnsi="Times New Roman"/>
          <w:sz w:val="24"/>
          <w:szCs w:val="24"/>
        </w:rPr>
        <w:t xml:space="preserve">ла </w:t>
      </w:r>
      <w:r w:rsidRPr="00173CE3">
        <w:rPr>
          <w:rFonts w:ascii="Times New Roman" w:hAnsi="Times New Roman" w:hint="eastAsia"/>
          <w:sz w:val="24"/>
          <w:szCs w:val="24"/>
        </w:rPr>
        <w:t>до</w:t>
      </w:r>
      <w:r w:rsidRPr="00173CE3">
        <w:rPr>
          <w:rFonts w:ascii="Times New Roman" w:hAnsi="Times New Roman"/>
          <w:sz w:val="24"/>
          <w:szCs w:val="24"/>
        </w:rPr>
        <w:t xml:space="preserve"> </w:t>
      </w:r>
      <w:r w:rsidRPr="00173CE3">
        <w:rPr>
          <w:rFonts w:ascii="Times New Roman" w:hAnsi="Times New Roman" w:hint="eastAsia"/>
          <w:sz w:val="24"/>
          <w:szCs w:val="24"/>
        </w:rPr>
        <w:t>ушкодження</w:t>
      </w:r>
      <w:r w:rsidRPr="00173CE3">
        <w:rPr>
          <w:rFonts w:ascii="Times New Roman" w:hAnsi="Times New Roman"/>
          <w:sz w:val="24"/>
          <w:szCs w:val="24"/>
        </w:rPr>
        <w:t xml:space="preserve"> </w:t>
      </w:r>
      <w:r w:rsidRPr="00173CE3">
        <w:rPr>
          <w:rFonts w:ascii="Times New Roman" w:hAnsi="Times New Roman" w:hint="eastAsia"/>
          <w:sz w:val="24"/>
          <w:szCs w:val="24"/>
        </w:rPr>
        <w:t>здоров’я</w:t>
      </w:r>
      <w:r w:rsidRPr="00173CE3">
        <w:rPr>
          <w:rFonts w:ascii="Times New Roman" w:hAnsi="Times New Roman"/>
          <w:sz w:val="24"/>
          <w:szCs w:val="24"/>
        </w:rPr>
        <w:t>.</w:t>
      </w:r>
    </w:p>
    <w:p w:rsidR="00A70BD6" w:rsidRPr="00173CE3" w:rsidRDefault="00A70BD6" w:rsidP="00A70BD6">
      <w:pPr>
        <w:spacing w:line="300" w:lineRule="exact"/>
        <w:ind w:firstLine="709"/>
        <w:jc w:val="both"/>
        <w:rPr>
          <w:rFonts w:ascii="Times New Roman" w:hAnsi="Times New Roman"/>
          <w:sz w:val="24"/>
          <w:szCs w:val="24"/>
        </w:rPr>
      </w:pPr>
      <w:r w:rsidRPr="00173CE3">
        <w:rPr>
          <w:rFonts w:ascii="Times New Roman" w:hAnsi="Times New Roman"/>
          <w:sz w:val="24"/>
          <w:szCs w:val="24"/>
        </w:rPr>
        <w:t>Загалом у разі настання страхового випадку Фонд виплачує:</w:t>
      </w:r>
    </w:p>
    <w:p w:rsidR="00A70BD6" w:rsidRPr="00173CE3" w:rsidRDefault="00A70BD6" w:rsidP="00A70BD6">
      <w:pPr>
        <w:tabs>
          <w:tab w:val="left" w:pos="993"/>
          <w:tab w:val="left" w:pos="1134"/>
        </w:tabs>
        <w:spacing w:line="300" w:lineRule="exact"/>
        <w:ind w:firstLine="709"/>
        <w:jc w:val="both"/>
        <w:rPr>
          <w:rFonts w:ascii="Times New Roman" w:hAnsi="Times New Roman"/>
          <w:sz w:val="24"/>
          <w:szCs w:val="24"/>
        </w:rPr>
      </w:pPr>
      <w:r w:rsidRPr="00173CE3">
        <w:rPr>
          <w:rFonts w:ascii="Times New Roman" w:hAnsi="Times New Roman"/>
          <w:sz w:val="24"/>
          <w:szCs w:val="24"/>
        </w:rPr>
        <w:t xml:space="preserve">– допомогу по тимчасовій непрацездатності; </w:t>
      </w:r>
    </w:p>
    <w:p w:rsidR="00A70BD6" w:rsidRPr="00173CE3" w:rsidRDefault="00A70BD6" w:rsidP="00A70BD6">
      <w:pPr>
        <w:tabs>
          <w:tab w:val="left" w:pos="709"/>
          <w:tab w:val="left" w:pos="993"/>
          <w:tab w:val="left" w:pos="1134"/>
        </w:tabs>
        <w:spacing w:line="300" w:lineRule="exact"/>
        <w:ind w:firstLine="709"/>
        <w:jc w:val="both"/>
        <w:rPr>
          <w:rFonts w:ascii="Times New Roman" w:hAnsi="Times New Roman"/>
          <w:sz w:val="24"/>
          <w:szCs w:val="24"/>
        </w:rPr>
      </w:pPr>
      <w:r w:rsidRPr="00173CE3">
        <w:rPr>
          <w:rFonts w:ascii="Times New Roman" w:hAnsi="Times New Roman"/>
          <w:sz w:val="24"/>
          <w:szCs w:val="24"/>
        </w:rPr>
        <w:t>– одноразову допомогу в разі стійкої втрати професійної працездатності або смерті потерпілого;</w:t>
      </w:r>
    </w:p>
    <w:p w:rsidR="00A70BD6" w:rsidRPr="00173CE3" w:rsidRDefault="00A70BD6" w:rsidP="00A70BD6">
      <w:pPr>
        <w:tabs>
          <w:tab w:val="left" w:pos="709"/>
          <w:tab w:val="left" w:pos="993"/>
          <w:tab w:val="left" w:pos="1134"/>
        </w:tabs>
        <w:spacing w:line="300" w:lineRule="exact"/>
        <w:ind w:firstLine="709"/>
        <w:jc w:val="both"/>
        <w:rPr>
          <w:rFonts w:ascii="Times New Roman" w:hAnsi="Times New Roman"/>
          <w:sz w:val="24"/>
          <w:szCs w:val="24"/>
        </w:rPr>
      </w:pPr>
      <w:r w:rsidRPr="00173CE3">
        <w:rPr>
          <w:rFonts w:ascii="Times New Roman" w:hAnsi="Times New Roman"/>
          <w:sz w:val="24"/>
          <w:szCs w:val="24"/>
        </w:rPr>
        <w:t>– щомісячну страхову виплату втраченого заробітку потерпілого;</w:t>
      </w:r>
    </w:p>
    <w:p w:rsidR="00A70BD6" w:rsidRPr="00173CE3" w:rsidRDefault="00A70BD6" w:rsidP="00A70BD6">
      <w:pPr>
        <w:tabs>
          <w:tab w:val="left" w:pos="709"/>
          <w:tab w:val="left" w:pos="993"/>
          <w:tab w:val="left" w:pos="1134"/>
        </w:tabs>
        <w:spacing w:line="300" w:lineRule="exact"/>
        <w:ind w:firstLine="709"/>
        <w:jc w:val="both"/>
        <w:rPr>
          <w:rFonts w:ascii="Times New Roman" w:hAnsi="Times New Roman"/>
          <w:sz w:val="24"/>
          <w:szCs w:val="24"/>
        </w:rPr>
      </w:pPr>
      <w:r w:rsidRPr="00173CE3">
        <w:rPr>
          <w:rFonts w:ascii="Times New Roman" w:hAnsi="Times New Roman"/>
          <w:sz w:val="24"/>
          <w:szCs w:val="24"/>
        </w:rPr>
        <w:t xml:space="preserve">–  страхову виплату потерпілому у розмірі його середньомісячного заробітку при тимчасовому переведенні його на легшу, </w:t>
      </w:r>
      <w:proofErr w:type="spellStart"/>
      <w:r w:rsidRPr="00173CE3">
        <w:rPr>
          <w:rFonts w:ascii="Times New Roman" w:hAnsi="Times New Roman"/>
          <w:sz w:val="24"/>
          <w:szCs w:val="24"/>
        </w:rPr>
        <w:t>нижчеоплачувану</w:t>
      </w:r>
      <w:proofErr w:type="spellEnd"/>
      <w:r w:rsidRPr="00173CE3">
        <w:rPr>
          <w:rFonts w:ascii="Times New Roman" w:hAnsi="Times New Roman"/>
          <w:sz w:val="24"/>
          <w:szCs w:val="24"/>
        </w:rPr>
        <w:t xml:space="preserve"> роботу;</w:t>
      </w:r>
    </w:p>
    <w:p w:rsidR="00A70BD6" w:rsidRPr="00173CE3" w:rsidRDefault="00A70BD6" w:rsidP="00A70BD6">
      <w:pPr>
        <w:tabs>
          <w:tab w:val="left" w:pos="709"/>
          <w:tab w:val="left" w:pos="993"/>
          <w:tab w:val="left" w:pos="1134"/>
        </w:tabs>
        <w:spacing w:line="300" w:lineRule="exact"/>
        <w:ind w:firstLine="709"/>
        <w:jc w:val="both"/>
        <w:rPr>
          <w:rFonts w:ascii="Times New Roman" w:hAnsi="Times New Roman"/>
          <w:sz w:val="24"/>
          <w:szCs w:val="24"/>
        </w:rPr>
      </w:pPr>
      <w:r w:rsidRPr="00173CE3">
        <w:rPr>
          <w:rFonts w:ascii="Times New Roman" w:hAnsi="Times New Roman"/>
          <w:sz w:val="24"/>
          <w:szCs w:val="24"/>
        </w:rPr>
        <w:t>– щомісячну страхову виплату особам, які мають на неї право в разі смерті потерпілого;</w:t>
      </w:r>
    </w:p>
    <w:p w:rsidR="00A70BD6" w:rsidRPr="00173CE3" w:rsidRDefault="00A70BD6" w:rsidP="00A70BD6">
      <w:pPr>
        <w:tabs>
          <w:tab w:val="left" w:pos="709"/>
          <w:tab w:val="left" w:pos="993"/>
          <w:tab w:val="left" w:pos="1134"/>
        </w:tabs>
        <w:spacing w:line="300" w:lineRule="exact"/>
        <w:ind w:firstLine="709"/>
        <w:jc w:val="both"/>
        <w:rPr>
          <w:rFonts w:ascii="Times New Roman" w:hAnsi="Times New Roman"/>
          <w:sz w:val="24"/>
          <w:szCs w:val="24"/>
        </w:rPr>
      </w:pPr>
      <w:r w:rsidRPr="00173CE3">
        <w:rPr>
          <w:rFonts w:ascii="Times New Roman" w:hAnsi="Times New Roman"/>
          <w:sz w:val="24"/>
          <w:szCs w:val="24"/>
        </w:rPr>
        <w:t xml:space="preserve">– відшкодування вартості поховання потерпілого та пов’язаних з цим ритуальних послуг. </w:t>
      </w:r>
    </w:p>
    <w:p w:rsidR="00A70BD6" w:rsidRPr="0057040D" w:rsidRDefault="00A70BD6" w:rsidP="00A70BD6"/>
    <w:p w:rsidR="00A70BD6" w:rsidRPr="00252708" w:rsidRDefault="00A70BD6" w:rsidP="00A70BD6">
      <w:pPr>
        <w:spacing w:line="288" w:lineRule="auto"/>
        <w:ind w:left="4820"/>
        <w:rPr>
          <w:rFonts w:ascii="Times New Roman" w:hAnsi="Times New Roman"/>
          <w:b/>
          <w:sz w:val="24"/>
          <w:szCs w:val="24"/>
        </w:rPr>
      </w:pPr>
      <w:proofErr w:type="spellStart"/>
      <w:r>
        <w:rPr>
          <w:rFonts w:ascii="Times New Roman" w:hAnsi="Times New Roman"/>
          <w:b/>
          <w:sz w:val="24"/>
          <w:szCs w:val="24"/>
        </w:rPr>
        <w:t>Прес</w:t>
      </w:r>
      <w:r w:rsidRPr="00252708">
        <w:rPr>
          <w:rFonts w:ascii="Times New Roman" w:hAnsi="Times New Roman"/>
          <w:b/>
          <w:sz w:val="24"/>
          <w:szCs w:val="24"/>
        </w:rPr>
        <w:t>служба</w:t>
      </w:r>
      <w:proofErr w:type="spellEnd"/>
      <w:r w:rsidRPr="00252708">
        <w:rPr>
          <w:rFonts w:ascii="Times New Roman" w:hAnsi="Times New Roman"/>
          <w:b/>
          <w:sz w:val="24"/>
          <w:szCs w:val="24"/>
        </w:rPr>
        <w:t xml:space="preserve"> виконавчої дирекції </w:t>
      </w:r>
    </w:p>
    <w:p w:rsidR="00A70BD6" w:rsidRPr="00252708" w:rsidRDefault="00A70BD6" w:rsidP="00A70BD6">
      <w:pPr>
        <w:spacing w:line="288" w:lineRule="auto"/>
        <w:ind w:left="4820"/>
        <w:rPr>
          <w:rFonts w:ascii="Times New Roman" w:hAnsi="Times New Roman"/>
          <w:b/>
          <w:sz w:val="24"/>
          <w:szCs w:val="24"/>
        </w:rPr>
      </w:pPr>
      <w:r w:rsidRPr="00252708">
        <w:rPr>
          <w:rFonts w:ascii="Times New Roman" w:hAnsi="Times New Roman"/>
          <w:b/>
          <w:sz w:val="24"/>
          <w:szCs w:val="24"/>
        </w:rPr>
        <w:t>Фонду соціального страхування України</w:t>
      </w:r>
    </w:p>
    <w:p w:rsidR="00A70BD6" w:rsidRPr="004B671B" w:rsidRDefault="00A70BD6" w:rsidP="00A70BD6">
      <w:pPr>
        <w:spacing w:line="288" w:lineRule="auto"/>
        <w:ind w:left="5529"/>
        <w:rPr>
          <w:rFonts w:ascii="Times New Roman" w:hAnsi="Times New Roman"/>
          <w:b/>
          <w:i/>
          <w:sz w:val="24"/>
          <w:szCs w:val="24"/>
        </w:rPr>
      </w:pPr>
    </w:p>
    <w:p w:rsidR="008543D1" w:rsidRDefault="008543D1"/>
    <w:sectPr w:rsidR="008543D1" w:rsidSect="00875F08">
      <w:headerReference w:type="even" r:id="rId6"/>
      <w:headerReference w:type="default" r:id="rId7"/>
      <w:headerReference w:type="first" r:id="rId8"/>
      <w:pgSz w:w="11906" w:h="16838" w:code="9"/>
      <w:pgMar w:top="851" w:right="1134" w:bottom="851" w:left="1418" w:header="567" w:footer="567"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3356E" w:rsidRDefault="0013356E">
      <w:r>
        <w:separator/>
      </w:r>
    </w:p>
  </w:endnote>
  <w:endnote w:type="continuationSeparator" w:id="0">
    <w:p w:rsidR="0013356E" w:rsidRDefault="001335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ntiqua">
    <w:altName w:val="Century Gothic"/>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3356E" w:rsidRDefault="0013356E">
      <w:r>
        <w:separator/>
      </w:r>
    </w:p>
  </w:footnote>
  <w:footnote w:type="continuationSeparator" w:id="0">
    <w:p w:rsidR="0013356E" w:rsidRDefault="0013356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33BA" w:rsidRDefault="004A2B19">
    <w:pPr>
      <w:framePr w:wrap="around" w:vAnchor="text" w:hAnchor="margin" w:xAlign="center" w:y="1"/>
    </w:pPr>
    <w:r>
      <w:fldChar w:fldCharType="begin"/>
    </w:r>
    <w:r>
      <w:instrText xml:space="preserve">PAGE  </w:instrText>
    </w:r>
    <w:r>
      <w:fldChar w:fldCharType="separate"/>
    </w:r>
    <w:r>
      <w:rPr>
        <w:noProof/>
      </w:rPr>
      <w:t>1</w:t>
    </w:r>
    <w:r>
      <w:fldChar w:fldCharType="end"/>
    </w:r>
  </w:p>
  <w:p w:rsidR="008E33BA" w:rsidRDefault="0013356E"/>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33BA" w:rsidRDefault="004A2B19">
    <w:pPr>
      <w:framePr w:wrap="around" w:vAnchor="text" w:hAnchor="margin" w:xAlign="center" w:y="1"/>
    </w:pPr>
    <w:r>
      <w:fldChar w:fldCharType="begin"/>
    </w:r>
    <w:r>
      <w:instrText xml:space="preserve">PAGE  </w:instrText>
    </w:r>
    <w:r>
      <w:fldChar w:fldCharType="separate"/>
    </w:r>
    <w:r>
      <w:rPr>
        <w:noProof/>
      </w:rPr>
      <w:t>2</w:t>
    </w:r>
    <w:r>
      <w:fldChar w:fldCharType="end"/>
    </w:r>
  </w:p>
  <w:p w:rsidR="008E33BA" w:rsidRDefault="0013356E"/>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113C" w:rsidRDefault="0013356E" w:rsidP="00C3113C">
    <w:pPr>
      <w:pStyle w:val="a3"/>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0BD6"/>
    <w:rsid w:val="0013356E"/>
    <w:rsid w:val="00230200"/>
    <w:rsid w:val="00437C55"/>
    <w:rsid w:val="004A2B19"/>
    <w:rsid w:val="00690AAD"/>
    <w:rsid w:val="008543D1"/>
    <w:rsid w:val="008D2FDF"/>
    <w:rsid w:val="00A70BD6"/>
    <w:rsid w:val="00B54190"/>
    <w:rsid w:val="00CB0F8C"/>
    <w:rsid w:val="00D3492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E16A2AF-C219-4280-B978-156EAA419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70BD6"/>
    <w:pPr>
      <w:spacing w:after="0" w:line="240" w:lineRule="auto"/>
    </w:pPr>
    <w:rPr>
      <w:rFonts w:ascii="Antiqua" w:eastAsia="Times New Roman" w:hAnsi="Antiqua" w:cs="Times New Roman"/>
      <w:sz w:val="26"/>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A70BD6"/>
    <w:pPr>
      <w:tabs>
        <w:tab w:val="center" w:pos="4153"/>
        <w:tab w:val="right" w:pos="8306"/>
      </w:tabs>
    </w:pPr>
  </w:style>
  <w:style w:type="character" w:customStyle="1" w:styleId="a4">
    <w:name w:val="Верхний колонтитул Знак"/>
    <w:basedOn w:val="a0"/>
    <w:link w:val="a3"/>
    <w:rsid w:val="00A70BD6"/>
    <w:rPr>
      <w:rFonts w:ascii="Antiqua" w:eastAsia="Times New Roman" w:hAnsi="Antiqua" w:cs="Times New Roman"/>
      <w:sz w:val="26"/>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234</Words>
  <Characters>1337</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Зоряна</dc:creator>
  <cp:lastModifiedBy>Олександр Романюк</cp:lastModifiedBy>
  <cp:revision>3</cp:revision>
  <cp:lastPrinted>2019-10-02T11:50:00Z</cp:lastPrinted>
  <dcterms:created xsi:type="dcterms:W3CDTF">2019-10-02T11:49:00Z</dcterms:created>
  <dcterms:modified xsi:type="dcterms:W3CDTF">2019-10-02T12:40:00Z</dcterms:modified>
</cp:coreProperties>
</file>