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343" w:rsidRPr="00653343" w:rsidRDefault="00653343" w:rsidP="00653343">
      <w:pPr>
        <w:shd w:val="clear" w:color="auto" w:fill="FFFFFF"/>
        <w:spacing w:after="300" w:line="570" w:lineRule="atLeast"/>
        <w:outlineLvl w:val="0"/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</w:pP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Нові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 правила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щодо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: в кого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можуть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забрати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пільгу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, а кому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>нарахують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kern w:val="36"/>
          <w:sz w:val="48"/>
          <w:szCs w:val="48"/>
          <w:lang w:eastAsia="ru-RU"/>
        </w:rPr>
        <w:t xml:space="preserve"> автоматично</w:t>
      </w:r>
    </w:p>
    <w:p w:rsidR="00653343" w:rsidRPr="00653343" w:rsidRDefault="00653343" w:rsidP="006533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666666"/>
          <w:sz w:val="21"/>
          <w:szCs w:val="21"/>
          <w:lang w:val="uk-UA" w:eastAsia="uk-UA"/>
        </w:rPr>
        <w:drawing>
          <wp:inline distT="0" distB="0" distL="0" distR="0">
            <wp:extent cx="5810250" cy="3276600"/>
            <wp:effectExtent l="0" t="0" r="0" b="0"/>
            <wp:docPr id="2" name="Рисунок 2" descr="Правила субсидій 2019 Україна - у кого заберуть пільги, а кому нарахую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субсидій 2019 Україна - у кого заберуть пільги, а кому нарахуют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343" w:rsidRPr="00653343" w:rsidRDefault="00653343" w:rsidP="00653343">
      <w:pPr>
        <w:shd w:val="clear" w:color="auto" w:fill="FFFFFF"/>
        <w:spacing w:line="225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З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травня</w:t>
      </w:r>
      <w:proofErr w:type="spellEnd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 в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Україні</w:t>
      </w:r>
      <w:proofErr w:type="spellEnd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змінюють</w:t>
      </w:r>
      <w:proofErr w:type="spellEnd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 систему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нарахування</w:t>
      </w:r>
      <w:proofErr w:type="spellEnd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 xml:space="preserve"> / </w:t>
      </w:r>
      <w:proofErr w:type="spellStart"/>
      <w:r w:rsidRPr="0065334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Соцмережі</w:t>
      </w:r>
      <w:proofErr w:type="spellEnd"/>
    </w:p>
    <w:p w:rsidR="00653343" w:rsidRPr="00653343" w:rsidRDefault="00653343" w:rsidP="0065334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53343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653343" w:rsidRPr="00653343" w:rsidRDefault="00653343" w:rsidP="00653343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53343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Україні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змінюється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порядок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виплати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Також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змінюються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й правила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і вводиться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додатковий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механізм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контролю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боржниками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653343" w:rsidRPr="00653343" w:rsidRDefault="00653343" w:rsidP="00653343">
      <w:pPr>
        <w:shd w:val="clear" w:color="auto" w:fill="FFFFFF"/>
        <w:spacing w:before="270" w:after="270" w:line="390" w:lineRule="atLeast"/>
        <w:outlineLvl w:val="1"/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</w:pPr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Кому в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травні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знову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звертатися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 по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субсидію</w:t>
      </w:r>
      <w:proofErr w:type="spellEnd"/>
    </w:p>
    <w:p w:rsid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потрібно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: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усім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діючим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субсидіантам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матимуть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заборгованості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комуналку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Їм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автоматично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перепризначать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новий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період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І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видаватимуть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готівкою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: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пенсіонерам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пенсійну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картку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чи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через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Укрпошту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всім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хто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пенсії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– через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Ощадбанк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 xml:space="preserve"> 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Потрібно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повторно </w:t>
      </w:r>
      <w:proofErr w:type="spellStart"/>
      <w:proofErr w:type="gram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звернутися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із</w:t>
      </w:r>
      <w:proofErr w:type="spellEnd"/>
      <w:proofErr w:type="gram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Заявою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Декларацією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про доходи:</w:t>
      </w:r>
    </w:p>
    <w:p w:rsidR="00653343" w:rsidRPr="00653343" w:rsidRDefault="00653343" w:rsidP="00653343">
      <w:pPr>
        <w:pBdr>
          <w:left w:val="single" w:sz="12" w:space="14" w:color="D11831"/>
        </w:pBd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-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чиї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справи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розглядала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Комісія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;</w: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br/>
        <w:t>-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орендарям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житла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;</w: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br/>
        <w:t>-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внутрішньо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переміщеним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особам;</w: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br/>
        <w:t xml:space="preserve">- родинам,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жовтня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2018 року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відбулися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зміни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складі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сім’ї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br/>
        <w:t xml:space="preserve">- 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сім’ям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було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призначено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всіх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зареєстрованих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фактично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проживаючих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помешканні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осіб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;</w: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br/>
        <w:t>-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сім’ям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де є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непрацюючі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люди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працездатного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або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відсутні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доходи,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або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вони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менші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мінімальної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заробітної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плати.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lastRenderedPageBreak/>
        <w:t>Літню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розраховуватимуть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основі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доходів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громадян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отриманих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 3-4 кварталах 2018 року.</w:t>
      </w:r>
    </w:p>
    <w:p w:rsidR="00653343" w:rsidRPr="00653343" w:rsidRDefault="00653343" w:rsidP="00653343">
      <w:pPr>
        <w:shd w:val="clear" w:color="auto" w:fill="FFFFFF"/>
        <w:spacing w:before="270" w:after="270" w:line="390" w:lineRule="atLeast"/>
        <w:outlineLvl w:val="1"/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</w:pP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Що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чекає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комунальних</w:t>
      </w:r>
      <w:proofErr w:type="spellEnd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боржників</w:t>
      </w:r>
      <w:proofErr w:type="spellEnd"/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Як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повідомлялось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раніше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борг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комунальні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послуги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сягнув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hyperlink r:id="rId9" w:history="1">
        <w:r w:rsidRPr="00653343">
          <w:rPr>
            <w:rFonts w:ascii="Arial" w:eastAsia="Times New Roman" w:hAnsi="Arial" w:cs="Arial"/>
            <w:color w:val="D0112B"/>
            <w:sz w:val="24"/>
            <w:szCs w:val="24"/>
            <w:u w:val="single"/>
            <w:lang w:eastAsia="ru-RU"/>
          </w:rPr>
          <w:t xml:space="preserve">340 </w:t>
        </w:r>
        <w:proofErr w:type="spellStart"/>
        <w:r w:rsidRPr="00653343">
          <w:rPr>
            <w:rFonts w:ascii="Arial" w:eastAsia="Times New Roman" w:hAnsi="Arial" w:cs="Arial"/>
            <w:color w:val="D0112B"/>
            <w:sz w:val="24"/>
            <w:szCs w:val="24"/>
            <w:u w:val="single"/>
            <w:lang w:eastAsia="ru-RU"/>
          </w:rPr>
          <w:t>гривень</w:t>
        </w:r>
        <w:proofErr w:type="spellEnd"/>
      </w:hyperlink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то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r w:rsidR="00F66298"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 xml:space="preserve">не </w:t>
      </w:r>
      <w:proofErr w:type="spellStart"/>
      <w:r w:rsidR="00F66298"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>нададуть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Повернути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її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можна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розрахуватися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 </w:t>
      </w:r>
      <w:proofErr w:type="gram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боргами, 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зробити</w:t>
      </w:r>
      <w:proofErr w:type="spellEnd"/>
      <w:proofErr w:type="gram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реструктуризацію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чи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із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заявою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 суду. 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є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один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спосіб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: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у кого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будуть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борги, буде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запропоновано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перейти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безготівкову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монетизацію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цього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обов’язково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потрібно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подати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Заяву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монетизацію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і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Декларацію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про доходи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управління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соціального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захисту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населення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надати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дозвіл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обробку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персональних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даних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Але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якщо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станом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травень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маєте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простроченої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понад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місяць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заборгованості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за оплату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комунальних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послуг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тобто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за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березень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то можете бути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спокійні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: борги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квітневу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комуналку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братимуться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уваги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перепризначенні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Та все ж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її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варто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погасити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після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погашення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боргів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або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укладення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договору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реструктуризації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споживач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так само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зможе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звернутися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із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Заявою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Декларацією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про доходи в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управління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соцзахисту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і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претендувати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653343" w:rsidRPr="00653343" w:rsidRDefault="00653343" w:rsidP="00653343">
      <w:pPr>
        <w:shd w:val="clear" w:color="auto" w:fill="FFFFFF"/>
        <w:spacing w:before="270" w:after="270" w:line="390" w:lineRule="atLeast"/>
        <w:outlineLvl w:val="1"/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</w:pPr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 xml:space="preserve">Правила </w:t>
      </w:r>
      <w:proofErr w:type="spellStart"/>
      <w:r w:rsidRPr="00653343">
        <w:rPr>
          <w:rFonts w:ascii="Arial" w:eastAsia="Times New Roman" w:hAnsi="Arial" w:cs="Arial"/>
          <w:b/>
          <w:bCs/>
          <w:color w:val="262A2B"/>
          <w:sz w:val="33"/>
          <w:szCs w:val="33"/>
          <w:lang w:eastAsia="ru-RU"/>
        </w:rPr>
        <w:t>нарахування</w:t>
      </w:r>
      <w:proofErr w:type="spellEnd"/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Щодо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правил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то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тепер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під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час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розрахунку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враховуватимуть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лише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обсяги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спожитого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газу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місяць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без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додаткових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нарахувань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постачальника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 (за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приведення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 так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званих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стандартних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умов). Як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пояснює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директор департаменту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Мінсоцполітики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Віталій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Музиченко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зараз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облгазам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нараховують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певні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суми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і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є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зовсім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законним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відповідають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встановленим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урядом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показникам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нарахування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вважатимуться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боргом.</w:t>
      </w:r>
    </w:p>
    <w:p w:rsidR="00653343" w:rsidRP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Крім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того,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рахуватиметься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як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заборгованість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виникла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зв’язку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надавач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послуги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уклав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договору з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Ощадбанком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перерахування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житлових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грошовій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безготівковій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формі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653343" w:rsidRDefault="00653343" w:rsidP="00653343">
      <w:pPr>
        <w:shd w:val="clear" w:color="auto" w:fill="FFFFFF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</w:pP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оформлення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від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травня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братимуть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доходи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третій-четвертий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квартал 2018 року. Подати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заповнені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документи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можна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навіть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поштовим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листом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чи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е-мейлом. 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потім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варто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лише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прийти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підписати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документи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Оформити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можна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і не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виходячи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 дому, але 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цього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потрібно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електронний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підпис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Отримати</w:t>
      </w:r>
      <w:proofErr w:type="spellEnd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його</w:t>
      </w:r>
      <w:proofErr w:type="spellEnd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можна</w:t>
      </w:r>
      <w:proofErr w:type="spellEnd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="00F66298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самостійно</w:t>
      </w:r>
      <w:proofErr w:type="spellEnd"/>
      <w:r w:rsidR="00F66298"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 xml:space="preserve"> в «П</w:t>
      </w:r>
      <w:r w:rsidR="00F66298" w:rsidRPr="00F66298"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>риват24</w:t>
      </w:r>
      <w:r w:rsidR="00F66298">
        <w:rPr>
          <w:rFonts w:ascii="Arial" w:eastAsia="Times New Roman" w:hAnsi="Arial" w:cs="Arial"/>
          <w:color w:val="262A2B"/>
          <w:sz w:val="24"/>
          <w:szCs w:val="24"/>
          <w:lang w:val="uk-UA" w:eastAsia="ru-RU"/>
        </w:rPr>
        <w:t>».</w:t>
      </w:r>
    </w:p>
    <w:p w:rsidR="00F66298" w:rsidRDefault="00F66298" w:rsidP="00653343">
      <w:pPr>
        <w:shd w:val="clear" w:color="auto" w:fill="FFFFFF"/>
        <w:spacing w:after="225" w:line="315" w:lineRule="atLeast"/>
        <w:rPr>
          <w:rFonts w:ascii="Times New Roman" w:hAnsi="Times New Roman" w:cs="Times New Roman"/>
          <w:sz w:val="32"/>
          <w:szCs w:val="32"/>
          <w:u w:val="single"/>
          <w:lang w:eastAsia="ru-RU"/>
        </w:rPr>
      </w:pPr>
    </w:p>
    <w:p w:rsidR="00F66298" w:rsidRDefault="00F66298" w:rsidP="00653343">
      <w:pPr>
        <w:shd w:val="clear" w:color="auto" w:fill="FFFFFF"/>
        <w:spacing w:after="225" w:line="315" w:lineRule="atLeast"/>
        <w:rPr>
          <w:rFonts w:ascii="Times New Roman" w:hAnsi="Times New Roman" w:cs="Times New Roman"/>
          <w:sz w:val="32"/>
          <w:szCs w:val="32"/>
          <w:u w:val="single"/>
          <w:lang w:eastAsia="ru-RU"/>
        </w:rPr>
      </w:pPr>
    </w:p>
    <w:p w:rsidR="00F66298" w:rsidRDefault="00F66298" w:rsidP="00653343">
      <w:pPr>
        <w:shd w:val="clear" w:color="auto" w:fill="FFFFFF"/>
        <w:spacing w:after="225" w:line="315" w:lineRule="atLeast"/>
        <w:rPr>
          <w:rFonts w:ascii="Times New Roman" w:hAnsi="Times New Roman" w:cs="Times New Roman"/>
          <w:sz w:val="32"/>
          <w:szCs w:val="32"/>
          <w:u w:val="single"/>
          <w:lang w:eastAsia="ru-RU"/>
        </w:rPr>
      </w:pPr>
    </w:p>
    <w:p w:rsidR="00F66298" w:rsidRPr="00F66298" w:rsidRDefault="00F66298" w:rsidP="00653343">
      <w:pPr>
        <w:shd w:val="clear" w:color="auto" w:fill="FFFFFF"/>
        <w:spacing w:after="225" w:line="315" w:lineRule="atLeast"/>
        <w:rPr>
          <w:rFonts w:ascii="Times New Roman" w:eastAsia="Times New Roman" w:hAnsi="Times New Roman" w:cs="Times New Roman"/>
          <w:color w:val="262A2B"/>
          <w:sz w:val="32"/>
          <w:szCs w:val="32"/>
          <w:u w:val="single"/>
          <w:lang w:val="uk-UA" w:eastAsia="ru-RU"/>
        </w:rPr>
      </w:pPr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lastRenderedPageBreak/>
        <w:t xml:space="preserve">Як </w:t>
      </w:r>
      <w:proofErr w:type="spellStart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>нараховуватимуть</w:t>
      </w:r>
      <w:proofErr w:type="spellEnd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proofErr w:type="spellStart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>субсидії</w:t>
      </w:r>
      <w:proofErr w:type="spellEnd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proofErr w:type="spellStart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із</w:t>
      </w:r>
      <w:proofErr w:type="spellEnd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1 </w:t>
      </w:r>
      <w:proofErr w:type="spellStart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>травня</w:t>
      </w:r>
      <w:proofErr w:type="spellEnd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 xml:space="preserve"> – </w:t>
      </w:r>
      <w:proofErr w:type="spellStart"/>
      <w:r w:rsidRPr="00F66298">
        <w:rPr>
          <w:rFonts w:ascii="Times New Roman" w:hAnsi="Times New Roman" w:cs="Times New Roman"/>
          <w:sz w:val="32"/>
          <w:szCs w:val="32"/>
          <w:u w:val="single"/>
          <w:lang w:eastAsia="ru-RU"/>
        </w:rPr>
        <w:t>інфографіка</w:t>
      </w:r>
      <w:proofErr w:type="spellEnd"/>
    </w:p>
    <w:p w:rsidR="00F66298" w:rsidRPr="00F66298" w:rsidRDefault="00244A9A" w:rsidP="00F66298">
      <w:pPr>
        <w:rPr>
          <w:lang w:eastAsia="ru-RU"/>
        </w:rPr>
      </w:pPr>
      <w:r w:rsidRPr="005F26F2">
        <w:rPr>
          <w:noProof/>
          <w:lang w:val="uk-UA" w:eastAsia="uk-UA"/>
        </w:rPr>
        <w:drawing>
          <wp:inline distT="0" distB="0" distL="0" distR="0" wp14:anchorId="26A5D3AD" wp14:editId="42B66BE3">
            <wp:extent cx="6473825" cy="8496300"/>
            <wp:effectExtent l="0" t="0" r="0" b="0"/>
            <wp:docPr id="4" name="Рисунок 4" descr="Як нараховуватимуть субсидії із 1 травня – інфографіка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Як нараховуватимуть субсидії із 1 травня – інфографіка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" t="695" r="-10278" b="-266"/>
                    <a:stretch/>
                  </pic:blipFill>
                  <pic:spPr bwMode="auto">
                    <a:xfrm>
                      <a:off x="0" y="0"/>
                      <a:ext cx="6473825" cy="8496300"/>
                    </a:xfrm>
                    <a:prstGeom prst="snip2Same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3343" w:rsidRPr="00653343" w:rsidRDefault="00653343" w:rsidP="00653343">
      <w:pPr>
        <w:shd w:val="clear" w:color="auto" w:fill="F4F6F5"/>
        <w:spacing w:after="225" w:line="315" w:lineRule="atLeast"/>
        <w:rPr>
          <w:rFonts w:ascii="Arial" w:eastAsia="Times New Roman" w:hAnsi="Arial" w:cs="Arial"/>
          <w:color w:val="262A2B"/>
          <w:sz w:val="24"/>
          <w:szCs w:val="24"/>
          <w:lang w:eastAsia="ru-RU"/>
        </w:rPr>
      </w:pP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lastRenderedPageBreak/>
        <w:t>Що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таке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fldChar w:fldCharType="begin"/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instrText xml:space="preserve"> HYPERLINK "https://24tv.ua/subsidiyi_tag5294/" </w:instrText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fldChar w:fldCharType="separate"/>
      </w:r>
      <w:r w:rsidRPr="00653343">
        <w:rPr>
          <w:rFonts w:ascii="Arial" w:eastAsia="Times New Roman" w:hAnsi="Arial" w:cs="Arial"/>
          <w:color w:val="D0112B"/>
          <w:sz w:val="24"/>
          <w:szCs w:val="24"/>
          <w:u w:val="single"/>
          <w:lang w:eastAsia="ru-RU"/>
        </w:rPr>
        <w:t>субсидія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fldChar w:fldCharType="end"/>
      </w:r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? 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цільова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раніше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безготівкова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допомога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сім'ї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відшкодування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витрат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за оплату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комунальних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послуг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Щоб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оформити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субсидію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необхідно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звернутися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до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Управління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праці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соціального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захисту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населення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за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місцем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реєстрації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. Для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оформлення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потрібно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: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заява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на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отримання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пільг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паспорт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громадянина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України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,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декларація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 xml:space="preserve"> про доходи та </w:t>
      </w:r>
      <w:proofErr w:type="spellStart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витрати</w:t>
      </w:r>
      <w:proofErr w:type="spellEnd"/>
      <w:r w:rsidRPr="00653343">
        <w:rPr>
          <w:rFonts w:ascii="Arial" w:eastAsia="Times New Roman" w:hAnsi="Arial" w:cs="Arial"/>
          <w:color w:val="262A2B"/>
          <w:sz w:val="24"/>
          <w:szCs w:val="24"/>
          <w:lang w:eastAsia="ru-RU"/>
        </w:rPr>
        <w:t>.</w:t>
      </w:r>
    </w:p>
    <w:p w:rsidR="00B34479" w:rsidRDefault="00B34479"/>
    <w:sectPr w:rsidR="00B34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298" w:rsidRDefault="00F66298" w:rsidP="00F66298">
      <w:pPr>
        <w:spacing w:after="0" w:line="240" w:lineRule="auto"/>
      </w:pPr>
      <w:r>
        <w:separator/>
      </w:r>
    </w:p>
  </w:endnote>
  <w:endnote w:type="continuationSeparator" w:id="0">
    <w:p w:rsidR="00F66298" w:rsidRDefault="00F66298" w:rsidP="00F6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298" w:rsidRDefault="00F66298" w:rsidP="00F66298">
      <w:pPr>
        <w:spacing w:after="0" w:line="240" w:lineRule="auto"/>
      </w:pPr>
      <w:r>
        <w:separator/>
      </w:r>
    </w:p>
  </w:footnote>
  <w:footnote w:type="continuationSeparator" w:id="0">
    <w:p w:rsidR="00F66298" w:rsidRDefault="00F66298" w:rsidP="00F6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47FAA"/>
    <w:multiLevelType w:val="multilevel"/>
    <w:tmpl w:val="04A0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43"/>
    <w:rsid w:val="00244A9A"/>
    <w:rsid w:val="00494E92"/>
    <w:rsid w:val="00517AA1"/>
    <w:rsid w:val="005F26F2"/>
    <w:rsid w:val="00653343"/>
    <w:rsid w:val="00B34479"/>
    <w:rsid w:val="00C42D5F"/>
    <w:rsid w:val="00CB7C6B"/>
    <w:rsid w:val="00F6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27FD"/>
  <w15:docId w15:val="{27EF0C5C-CA2B-4B63-A413-60B94794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33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3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33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ime">
    <w:name w:val="time"/>
    <w:basedOn w:val="a0"/>
    <w:rsid w:val="00653343"/>
  </w:style>
  <w:style w:type="character" w:customStyle="1" w:styleId="11">
    <w:name w:val="Дата1"/>
    <w:basedOn w:val="a0"/>
    <w:rsid w:val="00653343"/>
  </w:style>
  <w:style w:type="character" w:customStyle="1" w:styleId="viewsicon">
    <w:name w:val="views_icon"/>
    <w:basedOn w:val="a0"/>
    <w:rsid w:val="00653343"/>
  </w:style>
  <w:style w:type="character" w:styleId="a3">
    <w:name w:val="Hyperlink"/>
    <w:basedOn w:val="a0"/>
    <w:uiPriority w:val="99"/>
    <w:semiHidden/>
    <w:unhideWhenUsed/>
    <w:rsid w:val="00653343"/>
    <w:rPr>
      <w:color w:val="0000FF"/>
      <w:u w:val="single"/>
    </w:rPr>
  </w:style>
  <w:style w:type="character" w:customStyle="1" w:styleId="fb-share-count">
    <w:name w:val="fb-share-count"/>
    <w:basedOn w:val="a0"/>
    <w:rsid w:val="0065334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533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5334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65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533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5334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653343"/>
    <w:rPr>
      <w:b/>
      <w:bCs/>
    </w:rPr>
  </w:style>
  <w:style w:type="paragraph" w:customStyle="1" w:styleId="insert">
    <w:name w:val="insert"/>
    <w:basedOn w:val="a"/>
    <w:rsid w:val="0065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-also">
    <w:name w:val="read-also"/>
    <w:basedOn w:val="a"/>
    <w:rsid w:val="0065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53343"/>
    <w:rPr>
      <w:i/>
      <w:iCs/>
    </w:rPr>
  </w:style>
  <w:style w:type="paragraph" w:customStyle="1" w:styleId="question-block">
    <w:name w:val="question-block"/>
    <w:basedOn w:val="a"/>
    <w:rsid w:val="00653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34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662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6298"/>
  </w:style>
  <w:style w:type="paragraph" w:styleId="ab">
    <w:name w:val="footer"/>
    <w:basedOn w:val="a"/>
    <w:link w:val="ac"/>
    <w:uiPriority w:val="99"/>
    <w:unhideWhenUsed/>
    <w:rsid w:val="00F662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6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8717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119036">
              <w:marLeft w:val="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5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9111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1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696077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32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426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24tv.ua/resources/photos/news/201905/1148076_7592628.png?2019051828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4tv.ua/ukrayintsyam_vidmovlyatimut_v_subsidiyi_za_zaborgovanist_nazvano_sumu_n1112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878A2-5786-40C1-8EFD-300EE284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</dc:creator>
  <cp:lastModifiedBy>lesia</cp:lastModifiedBy>
  <cp:revision>7</cp:revision>
  <dcterms:created xsi:type="dcterms:W3CDTF">2019-06-17T19:44:00Z</dcterms:created>
  <dcterms:modified xsi:type="dcterms:W3CDTF">2019-06-18T07:03:00Z</dcterms:modified>
</cp:coreProperties>
</file>