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58F" w:rsidRDefault="00FA158F" w:rsidP="00FA158F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У І кварталі кількість профзахворювань зросла на 21,7%</w:t>
      </w:r>
      <w:bookmarkEnd w:id="0"/>
    </w:p>
    <w:p w:rsidR="00FA158F" w:rsidRDefault="00FA158F" w:rsidP="00FA158F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3272A7">
        <w:rPr>
          <w:rFonts w:ascii="Times New Roman" w:hAnsi="Times New Roman"/>
          <w:sz w:val="24"/>
          <w:szCs w:val="24"/>
        </w:rPr>
        <w:t xml:space="preserve">Рівень професійної захворюваності </w:t>
      </w:r>
      <w:r>
        <w:rPr>
          <w:rFonts w:ascii="Times New Roman" w:hAnsi="Times New Roman"/>
          <w:sz w:val="24"/>
          <w:szCs w:val="24"/>
        </w:rPr>
        <w:t xml:space="preserve">за оперативними підсумками І кварталу 2019 року </w:t>
      </w:r>
      <w:r w:rsidRPr="003272A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ріс </w:t>
      </w:r>
      <w:r w:rsidRPr="003272A7">
        <w:rPr>
          <w:rFonts w:ascii="Times New Roman" w:hAnsi="Times New Roman"/>
          <w:sz w:val="24"/>
          <w:szCs w:val="24"/>
        </w:rPr>
        <w:t>на 21,7%</w:t>
      </w:r>
      <w:r>
        <w:rPr>
          <w:rFonts w:ascii="Times New Roman" w:hAnsi="Times New Roman"/>
          <w:sz w:val="24"/>
          <w:szCs w:val="24"/>
        </w:rPr>
        <w:t xml:space="preserve"> порівняно з тим же періодом минулого року</w:t>
      </w:r>
      <w:r w:rsidRPr="003272A7">
        <w:rPr>
          <w:rFonts w:ascii="Times New Roman" w:hAnsi="Times New Roman"/>
          <w:sz w:val="24"/>
          <w:szCs w:val="24"/>
        </w:rPr>
        <w:t>.</w:t>
      </w:r>
      <w:r w:rsidRPr="00C83A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Водночас, </w:t>
      </w:r>
      <w:r w:rsidRPr="003272A7">
        <w:rPr>
          <w:rFonts w:ascii="Times New Roman" w:hAnsi="Times New Roman"/>
          <w:sz w:val="24"/>
          <w:szCs w:val="24"/>
        </w:rPr>
        <w:t xml:space="preserve">кількість нещасних випадків на виробництві зменшилась на 5%, кількість смертельних нещасних випадків – на 1,1%. Про це під час селекторної наради з фахівцями робочих органів виконавчої дирекції Фонду соціального страхування України повідомив начальник управління профілактики страхових випадків виконавчої дирекції Фонду Сергій </w:t>
      </w:r>
      <w:proofErr w:type="spellStart"/>
      <w:r w:rsidRPr="003272A7">
        <w:rPr>
          <w:rFonts w:ascii="Times New Roman" w:hAnsi="Times New Roman"/>
          <w:sz w:val="24"/>
          <w:szCs w:val="24"/>
        </w:rPr>
        <w:t>Таровик</w:t>
      </w:r>
      <w:proofErr w:type="spellEnd"/>
      <w:r w:rsidRPr="003272A7">
        <w:rPr>
          <w:rFonts w:ascii="Times New Roman" w:hAnsi="Times New Roman"/>
          <w:sz w:val="24"/>
          <w:szCs w:val="24"/>
        </w:rPr>
        <w:t>.</w:t>
      </w:r>
    </w:p>
    <w:p w:rsidR="00FA158F" w:rsidRDefault="00FA158F" w:rsidP="00FA158F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словами </w:t>
      </w:r>
      <w:proofErr w:type="spellStart"/>
      <w:r>
        <w:rPr>
          <w:rFonts w:ascii="Times New Roman" w:hAnsi="Times New Roman"/>
          <w:sz w:val="24"/>
          <w:szCs w:val="24"/>
        </w:rPr>
        <w:t>С.Таровика</w:t>
      </w:r>
      <w:proofErr w:type="spellEnd"/>
      <w:r>
        <w:rPr>
          <w:rFonts w:ascii="Times New Roman" w:hAnsi="Times New Roman"/>
          <w:sz w:val="24"/>
          <w:szCs w:val="24"/>
        </w:rPr>
        <w:t xml:space="preserve">, значна кількість осіб, які мають </w:t>
      </w:r>
      <w:r w:rsidRPr="003272A7">
        <w:rPr>
          <w:rFonts w:ascii="Times New Roman" w:hAnsi="Times New Roman"/>
          <w:sz w:val="24"/>
          <w:szCs w:val="24"/>
        </w:rPr>
        <w:t xml:space="preserve">професійне захворювання, </w:t>
      </w:r>
      <w:r>
        <w:rPr>
          <w:rFonts w:ascii="Times New Roman" w:hAnsi="Times New Roman"/>
          <w:sz w:val="24"/>
          <w:szCs w:val="24"/>
        </w:rPr>
        <w:t>в останні роки до встановлення діагнозу були визнані придатними до роботи у важких і шкідливих умовах праці</w:t>
      </w:r>
      <w:r w:rsidRPr="003272A7">
        <w:rPr>
          <w:rFonts w:ascii="Times New Roman" w:hAnsi="Times New Roman"/>
          <w:sz w:val="24"/>
          <w:szCs w:val="24"/>
        </w:rPr>
        <w:t xml:space="preserve"> відповідно до заключних актів комісій з проведення медичних оглядів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A158F" w:rsidRPr="00D02D87" w:rsidRDefault="00FA158F" w:rsidP="00FA158F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3272A7">
        <w:rPr>
          <w:rFonts w:ascii="Times New Roman" w:hAnsi="Times New Roman"/>
          <w:sz w:val="24"/>
          <w:szCs w:val="24"/>
        </w:rPr>
        <w:t xml:space="preserve">«Ми фіксуємо випадки, коли працівник був визнаний здоровим за результатами медогляду, проведеного лише за </w:t>
      </w:r>
      <w:r>
        <w:rPr>
          <w:rFonts w:ascii="Times New Roman" w:hAnsi="Times New Roman"/>
          <w:sz w:val="24"/>
          <w:szCs w:val="24"/>
        </w:rPr>
        <w:t>рік</w:t>
      </w:r>
      <w:r w:rsidRPr="003272A7">
        <w:rPr>
          <w:rFonts w:ascii="Times New Roman" w:hAnsi="Times New Roman"/>
          <w:sz w:val="24"/>
          <w:szCs w:val="24"/>
        </w:rPr>
        <w:t xml:space="preserve"> до виявлення в нього профзахворювання. </w:t>
      </w:r>
      <w:proofErr w:type="spellStart"/>
      <w:r w:rsidRPr="003272A7">
        <w:rPr>
          <w:rFonts w:ascii="Times New Roman" w:hAnsi="Times New Roman"/>
          <w:sz w:val="24"/>
          <w:szCs w:val="24"/>
        </w:rPr>
        <w:t>Невиявлення</w:t>
      </w:r>
      <w:proofErr w:type="spellEnd"/>
      <w:r w:rsidRPr="003272A7">
        <w:rPr>
          <w:rFonts w:ascii="Times New Roman" w:hAnsi="Times New Roman"/>
          <w:sz w:val="24"/>
          <w:szCs w:val="24"/>
        </w:rPr>
        <w:t xml:space="preserve"> ранніх ознак професійних захворювань не дозволяють вчасно почати заходи зі збереження та відновлення здоров’я</w:t>
      </w:r>
      <w:r w:rsidRPr="00C83A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працівників та </w:t>
      </w:r>
      <w:r w:rsidRPr="003272A7">
        <w:rPr>
          <w:rFonts w:ascii="Times New Roman" w:hAnsi="Times New Roman"/>
          <w:sz w:val="24"/>
          <w:szCs w:val="24"/>
        </w:rPr>
        <w:t>скорочують періоди</w:t>
      </w:r>
      <w:r>
        <w:rPr>
          <w:rFonts w:ascii="Times New Roman" w:hAnsi="Times New Roman"/>
          <w:sz w:val="24"/>
          <w:szCs w:val="24"/>
        </w:rPr>
        <w:t xml:space="preserve"> їх</w:t>
      </w:r>
      <w:r w:rsidRPr="003272A7">
        <w:rPr>
          <w:rFonts w:ascii="Times New Roman" w:hAnsi="Times New Roman"/>
          <w:sz w:val="24"/>
          <w:szCs w:val="24"/>
        </w:rPr>
        <w:t xml:space="preserve"> працездатності. Тому робота із </w:t>
      </w:r>
      <w:r>
        <w:rPr>
          <w:rFonts w:ascii="Times New Roman" w:hAnsi="Times New Roman"/>
          <w:sz w:val="24"/>
          <w:szCs w:val="24"/>
        </w:rPr>
        <w:t>забезпечення</w:t>
      </w:r>
      <w:r w:rsidRPr="003272A7">
        <w:rPr>
          <w:rFonts w:ascii="Times New Roman" w:hAnsi="Times New Roman"/>
          <w:sz w:val="24"/>
          <w:szCs w:val="24"/>
        </w:rPr>
        <w:t xml:space="preserve"> проведення якісних та ефективних медичних оглядів дуже важлива. Зокрема, потрібно налагоджувати співпрацю із закладами охорони здоров’я, які проводять медичні огляди», – </w:t>
      </w:r>
      <w:r w:rsidRPr="00D02D87">
        <w:rPr>
          <w:rFonts w:ascii="Times New Roman" w:hAnsi="Times New Roman"/>
          <w:sz w:val="24"/>
          <w:szCs w:val="24"/>
        </w:rPr>
        <w:t>зазначив С</w:t>
      </w:r>
      <w:r>
        <w:rPr>
          <w:rFonts w:ascii="Times New Roman" w:hAnsi="Times New Roman"/>
          <w:sz w:val="24"/>
          <w:szCs w:val="24"/>
        </w:rPr>
        <w:t xml:space="preserve">ергій </w:t>
      </w:r>
      <w:proofErr w:type="spellStart"/>
      <w:r w:rsidRPr="00D02D87">
        <w:rPr>
          <w:rFonts w:ascii="Times New Roman" w:hAnsi="Times New Roman"/>
          <w:sz w:val="24"/>
          <w:szCs w:val="24"/>
        </w:rPr>
        <w:t>Таровик</w:t>
      </w:r>
      <w:proofErr w:type="spellEnd"/>
      <w:r w:rsidRPr="00D02D87">
        <w:rPr>
          <w:rFonts w:ascii="Times New Roman" w:hAnsi="Times New Roman"/>
          <w:sz w:val="24"/>
          <w:szCs w:val="24"/>
        </w:rPr>
        <w:t>.</w:t>
      </w:r>
    </w:p>
    <w:p w:rsidR="00FA158F" w:rsidRPr="00D02D87" w:rsidRDefault="00FA158F" w:rsidP="00FA158F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D02D87">
        <w:rPr>
          <w:rFonts w:ascii="Times New Roman" w:hAnsi="Times New Roman"/>
          <w:sz w:val="24"/>
          <w:szCs w:val="24"/>
        </w:rPr>
        <w:t xml:space="preserve">Основними причинами професійних захворювань залишаються недосконалість механізмів та робочого інструменту, недосконалість технологічного процесу та неефективність роботи засобів індивідуального захисту. Водночас, </w:t>
      </w:r>
      <w:r>
        <w:rPr>
          <w:rFonts w:ascii="Times New Roman" w:hAnsi="Times New Roman"/>
          <w:sz w:val="24"/>
          <w:szCs w:val="24"/>
        </w:rPr>
        <w:t xml:space="preserve">як наголосив </w:t>
      </w:r>
      <w:proofErr w:type="spellStart"/>
      <w:r>
        <w:rPr>
          <w:rFonts w:ascii="Times New Roman" w:hAnsi="Times New Roman"/>
          <w:sz w:val="24"/>
          <w:szCs w:val="24"/>
        </w:rPr>
        <w:t>С.Таровик</w:t>
      </w:r>
      <w:proofErr w:type="spellEnd"/>
      <w:r w:rsidRPr="00D02D87">
        <w:rPr>
          <w:rFonts w:ascii="Times New Roman" w:hAnsi="Times New Roman"/>
          <w:sz w:val="24"/>
          <w:szCs w:val="24"/>
        </w:rPr>
        <w:t xml:space="preserve">, для організації більш ефективної профілактичної роботи зазначені обставини мають бути деталізовані, виявлені конкретні механізми та інструменти, що становлять загрозу для працівників. </w:t>
      </w:r>
    </w:p>
    <w:p w:rsidR="00FA158F" w:rsidRPr="00D02D87" w:rsidRDefault="00FA158F" w:rsidP="00FA158F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D02D87">
        <w:rPr>
          <w:rFonts w:ascii="Times New Roman" w:hAnsi="Times New Roman"/>
          <w:sz w:val="24"/>
          <w:szCs w:val="24"/>
        </w:rPr>
        <w:t xml:space="preserve">Під час наради було акцентовано увагу на потребі в організації дієвої співпраці із роботодавцями щодо створення належних умов праці, а також зі спеціалізованими лікувально-профілактичними закладами, що встановлюють профзахворювання, облдержадміністраціями, органами </w:t>
      </w:r>
      <w:proofErr w:type="spellStart"/>
      <w:r w:rsidRPr="00D02D87">
        <w:rPr>
          <w:rFonts w:ascii="Times New Roman" w:hAnsi="Times New Roman"/>
          <w:sz w:val="24"/>
          <w:szCs w:val="24"/>
        </w:rPr>
        <w:t>Держпраці</w:t>
      </w:r>
      <w:proofErr w:type="spellEnd"/>
      <w:r w:rsidRPr="00D02D87">
        <w:rPr>
          <w:rFonts w:ascii="Times New Roman" w:hAnsi="Times New Roman"/>
          <w:sz w:val="24"/>
          <w:szCs w:val="24"/>
        </w:rPr>
        <w:t xml:space="preserve"> тощо. </w:t>
      </w:r>
    </w:p>
    <w:p w:rsidR="00FA158F" w:rsidRPr="00D02D87" w:rsidRDefault="00FA158F" w:rsidP="00FA158F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D02D87">
        <w:rPr>
          <w:rFonts w:ascii="Times New Roman" w:hAnsi="Times New Roman"/>
          <w:sz w:val="24"/>
          <w:szCs w:val="24"/>
        </w:rPr>
        <w:t>Управління виконавчої дирекції Фонду в областях та місті Києві надали інформацію щодо здійснених упродовж І кварталу 2019 року профілактичних заходів та їх ефективності.</w:t>
      </w:r>
    </w:p>
    <w:p w:rsidR="00FA158F" w:rsidRPr="00C85EE6" w:rsidRDefault="00FA158F" w:rsidP="00FA158F">
      <w:pPr>
        <w:ind w:firstLine="851"/>
        <w:jc w:val="both"/>
        <w:rPr>
          <w:rFonts w:ascii="Times New Roman" w:hAnsi="Times New Roman"/>
          <w:smallCaps/>
          <w:sz w:val="24"/>
          <w:szCs w:val="24"/>
        </w:rPr>
      </w:pPr>
    </w:p>
    <w:p w:rsidR="00FA158F" w:rsidRPr="00515B10" w:rsidRDefault="00FA158F" w:rsidP="00FA158F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515B10">
        <w:rPr>
          <w:rFonts w:ascii="Times New Roman" w:hAnsi="Times New Roman"/>
          <w:sz w:val="24"/>
          <w:szCs w:val="24"/>
        </w:rPr>
        <w:t>.</w:t>
      </w:r>
    </w:p>
    <w:p w:rsidR="00FA158F" w:rsidRPr="00ED4322" w:rsidRDefault="00FA158F" w:rsidP="00FA158F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4"/>
          <w:szCs w:val="28"/>
          <w:lang w:val="ru-RU"/>
        </w:rPr>
      </w:pPr>
      <w:r w:rsidRPr="005258C2">
        <w:rPr>
          <w:rFonts w:ascii="Times New Roman" w:hAnsi="Times New Roman"/>
          <w:b/>
          <w:sz w:val="24"/>
          <w:szCs w:val="24"/>
        </w:rPr>
        <w:t>Прес-служба виконавчої</w:t>
      </w:r>
      <w:r w:rsidRPr="00ED4322">
        <w:rPr>
          <w:rFonts w:ascii="Times New Roman" w:hAnsi="Times New Roman"/>
          <w:b/>
          <w:sz w:val="24"/>
          <w:szCs w:val="28"/>
        </w:rPr>
        <w:t xml:space="preserve"> дирекції </w:t>
      </w:r>
      <w:r w:rsidRPr="00ED4322">
        <w:rPr>
          <w:rFonts w:ascii="Times New Roman" w:hAnsi="Times New Roman"/>
          <w:b/>
          <w:sz w:val="24"/>
          <w:szCs w:val="28"/>
        </w:rPr>
        <w:br/>
        <w:t>Фонду соціального страхування України</w:t>
      </w:r>
    </w:p>
    <w:p w:rsidR="008543D1" w:rsidRPr="00FA158F" w:rsidRDefault="008543D1">
      <w:pPr>
        <w:rPr>
          <w:lang w:val="ru-RU"/>
        </w:rPr>
      </w:pPr>
    </w:p>
    <w:sectPr w:rsidR="008543D1" w:rsidRPr="00FA158F" w:rsidSect="00FA158F">
      <w:headerReference w:type="even" r:id="rId6"/>
      <w:headerReference w:type="default" r:id="rId7"/>
      <w:headerReference w:type="first" r:id="rId8"/>
      <w:pgSz w:w="11906" w:h="16838" w:code="9"/>
      <w:pgMar w:top="709" w:right="849" w:bottom="70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68A" w:rsidRDefault="00A6468A">
      <w:r>
        <w:separator/>
      </w:r>
    </w:p>
  </w:endnote>
  <w:endnote w:type="continuationSeparator" w:id="0">
    <w:p w:rsidR="00A6468A" w:rsidRDefault="00A6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68A" w:rsidRDefault="00A6468A">
      <w:r>
        <w:separator/>
      </w:r>
    </w:p>
  </w:footnote>
  <w:footnote w:type="continuationSeparator" w:id="0">
    <w:p w:rsidR="00A6468A" w:rsidRDefault="00A64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102BA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A646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102BA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A6468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13C" w:rsidRDefault="00A6468A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8F"/>
    <w:rsid w:val="00102BA4"/>
    <w:rsid w:val="00387064"/>
    <w:rsid w:val="00437C55"/>
    <w:rsid w:val="00690AAD"/>
    <w:rsid w:val="008543D1"/>
    <w:rsid w:val="008D2FDF"/>
    <w:rsid w:val="00A6468A"/>
    <w:rsid w:val="00B54190"/>
    <w:rsid w:val="00CB0F8C"/>
    <w:rsid w:val="00D3492E"/>
    <w:rsid w:val="00FA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64F6A-4D25-4AF8-AE7F-C68130B2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58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58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A158F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cp:lastPrinted>2019-04-12T05:31:00Z</cp:lastPrinted>
  <dcterms:created xsi:type="dcterms:W3CDTF">2019-04-12T05:30:00Z</dcterms:created>
  <dcterms:modified xsi:type="dcterms:W3CDTF">2019-04-12T07:58:00Z</dcterms:modified>
</cp:coreProperties>
</file>