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6C7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5D99B32C" wp14:editId="6C7B7932">
            <wp:extent cx="425450" cy="6032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6C7" w:rsidRPr="00C05BAE" w:rsidRDefault="00E416C7" w:rsidP="00E416C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Cs/>
          <w:caps/>
          <w:kern w:val="3"/>
          <w:sz w:val="28"/>
          <w:szCs w:val="28"/>
          <w:lang w:val="uk-UA" w:eastAsia="zh-CN" w:bidi="hi-IN"/>
        </w:rPr>
      </w:pPr>
      <w:r w:rsidRPr="00C05BAE"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  <w:t xml:space="preserve">                                                                                                          </w:t>
      </w:r>
    </w:p>
    <w:p w:rsidR="00E416C7" w:rsidRPr="00C05BAE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</w:pPr>
      <w:r w:rsidRPr="00C05BAE"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:rsidR="00E416C7" w:rsidRPr="00C05BAE" w:rsidRDefault="00E416C7" w:rsidP="00E416C7">
      <w:pPr>
        <w:keepNext/>
        <w:widowControl w:val="0"/>
        <w:suppressAutoHyphens/>
        <w:autoSpaceDN w:val="0"/>
        <w:spacing w:after="0" w:line="220" w:lineRule="exact"/>
        <w:jc w:val="center"/>
        <w:textAlignment w:val="baseline"/>
        <w:outlineLvl w:val="3"/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</w:pPr>
      <w:r w:rsidRPr="00C05BAE"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:rsidR="00E416C7" w:rsidRPr="00C05BAE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  <w:r w:rsidRPr="00C05BA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  <w:r w:rsidRPr="00C05BAE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 xml:space="preserve"> </w:t>
      </w:r>
    </w:p>
    <w:p w:rsidR="00E416C7" w:rsidRPr="00152252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  <w:r w:rsidRPr="00152252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>(сьоме скликання)</w:t>
      </w:r>
    </w:p>
    <w:p w:rsidR="00E416C7" w:rsidRPr="00152252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</w:p>
    <w:p w:rsidR="00E416C7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Я</w:t>
      </w:r>
    </w:p>
    <w:p w:rsidR="00E416C7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</w:t>
      </w:r>
    </w:p>
    <w:p w:rsidR="00E416C7" w:rsidRPr="00006C8F" w:rsidRDefault="001D5882" w:rsidP="00E416C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u w:val="single"/>
          <w:lang w:val="uk-UA"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>10</w:t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 xml:space="preserve"> березня 2020 року</w:t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DB12BC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ab/>
      </w:r>
      <w:r w:rsidR="00E416C7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№</w:t>
      </w:r>
      <w:r w:rsidR="00006C8F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 xml:space="preserve"> </w:t>
      </w:r>
      <w:bookmarkStart w:id="0" w:name="_GoBack"/>
      <w:r w:rsidR="00DB12BC" w:rsidRPr="00006C8F">
        <w:rPr>
          <w:rFonts w:ascii="Times New Roman" w:eastAsia="SimSun" w:hAnsi="Times New Roman" w:cs="Times New Roman"/>
          <w:kern w:val="3"/>
          <w:sz w:val="28"/>
          <w:szCs w:val="28"/>
          <w:u w:val="single"/>
          <w:lang w:val="uk-UA" w:eastAsia="zh-CN" w:bidi="hi-IN"/>
        </w:rPr>
        <w:t>842</w:t>
      </w:r>
    </w:p>
    <w:bookmarkEnd w:id="0"/>
    <w:p w:rsidR="00E416C7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6C7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Інвестиційної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416C7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централізованого водопостачання </w:t>
      </w:r>
    </w:p>
    <w:p w:rsidR="00E416C7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комунального підприємства «</w:t>
      </w:r>
      <w:proofErr w:type="spellStart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</w:p>
    <w:p w:rsidR="00E416C7" w:rsidRPr="00F0293E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2020-2021 рік</w:t>
      </w:r>
    </w:p>
    <w:p w:rsidR="00E416C7" w:rsidRPr="00F0293E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02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України «Про житлово-комунальні послуги»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Закону України «Про державне регулювання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сфері комунальних послуг»,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Постанови Кабінету міністрів України від 01.06.2011р. №869 «Про забезпечення єдиного підходу до формування тарифів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житлово-комунальні послуги» 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вимог «Порядку розроблення, погодження, затвердження інвестиційних програм суб’єктів господарювання у сфері центрального водопостачання та водовідведення»,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22 ч.1 ст. 26 Закону України «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/>
        </w:rPr>
        <w:t>Про місцеве самоврядув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ання в Україні»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 погодженням з постійними депутатськими комісіями</w:t>
      </w:r>
      <w:r w:rsidR="00DB12BC">
        <w:rPr>
          <w:rFonts w:ascii="Times New Roman" w:eastAsia="Times New Roman" w:hAnsi="Times New Roman" w:cs="Times New Roman"/>
          <w:sz w:val="28"/>
          <w:szCs w:val="28"/>
          <w:lang w:val="uk-UA"/>
        </w:rPr>
        <w:t>, сесія Шпанівської сільської ради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E416C7" w:rsidRPr="00954674" w:rsidRDefault="00E416C7" w:rsidP="00E416C7">
      <w:pPr>
        <w:tabs>
          <w:tab w:val="left" w:pos="1046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416C7" w:rsidRDefault="00E416C7" w:rsidP="00E416C7">
      <w:pPr>
        <w:tabs>
          <w:tab w:val="left" w:pos="1046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Л А:</w:t>
      </w:r>
    </w:p>
    <w:p w:rsidR="00DB12BC" w:rsidRDefault="00DB12BC" w:rsidP="00E416C7">
      <w:pPr>
        <w:tabs>
          <w:tab w:val="left" w:pos="1046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6C7" w:rsidRDefault="00E416C7" w:rsidP="00E416C7">
      <w:pPr>
        <w:tabs>
          <w:tab w:val="left" w:pos="1046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Інвестиційну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рограму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централізованого водопостачання комунального підприємства «</w:t>
      </w:r>
      <w:proofErr w:type="spellStart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Шпанівської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2020-2021 рік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E416C7" w:rsidRDefault="00E416C7" w:rsidP="00E416C7">
      <w:pPr>
        <w:tabs>
          <w:tab w:val="left" w:pos="1046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Начальник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бухгалтерського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звітності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Кречко С.О.</w:t>
      </w:r>
      <w:r w:rsidR="00DB12B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формуванні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запитів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2020 -2025 роки,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наявності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передбачати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16C7" w:rsidRPr="000B3003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003">
        <w:rPr>
          <w:rFonts w:ascii="Times New Roman" w:eastAsia="Times New Roman" w:hAnsi="Times New Roman" w:cs="Times New Roman"/>
          <w:sz w:val="28"/>
          <w:szCs w:val="28"/>
          <w:lang w:val="uk-UA"/>
        </w:rPr>
        <w:t>покласти на постійну</w:t>
      </w:r>
      <w:r w:rsidR="00BB75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комісію з правових питань та соціального захисту населення (Сергій </w:t>
      </w:r>
      <w:proofErr w:type="spellStart"/>
      <w:r w:rsidR="00BB758B">
        <w:rPr>
          <w:rFonts w:ascii="Times New Roman" w:eastAsia="Times New Roman" w:hAnsi="Times New Roman" w:cs="Times New Roman"/>
          <w:sz w:val="28"/>
          <w:szCs w:val="28"/>
          <w:lang w:val="uk-UA"/>
        </w:rPr>
        <w:t>Мануйлик</w:t>
      </w:r>
      <w:proofErr w:type="spellEnd"/>
      <w:r w:rsidR="00BB758B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E416C7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6C7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6C7" w:rsidRDefault="00E416C7" w:rsidP="00E41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ільський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СТОЛЯРЧУК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416C7" w:rsidRDefault="00E416C7" w:rsidP="00E416C7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p w:rsidR="00E416C7" w:rsidRPr="00B034DB" w:rsidRDefault="00E416C7" w:rsidP="00E416C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34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</w:t>
      </w:r>
    </w:p>
    <w:p w:rsidR="00E416C7" w:rsidRPr="00B034DB" w:rsidRDefault="00E416C7" w:rsidP="00E416C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34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 сесії</w:t>
      </w:r>
    </w:p>
    <w:p w:rsidR="00E416C7" w:rsidRPr="00B034DB" w:rsidRDefault="00DB12BC" w:rsidP="00E416C7">
      <w:pPr>
        <w:shd w:val="clear" w:color="auto" w:fill="FFFFFF"/>
        <w:spacing w:after="22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10.03.2020 №842</w:t>
      </w: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Pr="001E052F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uk-UA" w:eastAsia="uk-UA"/>
        </w:rPr>
      </w:pPr>
      <w:r w:rsidRPr="001E052F">
        <w:rPr>
          <w:rFonts w:ascii="Times New Roman" w:eastAsia="Times New Roman" w:hAnsi="Times New Roman" w:cs="Times New Roman"/>
          <w:b/>
          <w:sz w:val="44"/>
          <w:szCs w:val="44"/>
          <w:lang w:val="uk-UA" w:eastAsia="uk-UA"/>
        </w:rPr>
        <w:t xml:space="preserve">ІНВЕСТИЦІЙНА ПРОГРАМА </w:t>
      </w:r>
    </w:p>
    <w:p w:rsidR="00E416C7" w:rsidRPr="001E052F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</w:pPr>
      <w:r w:rsidRPr="001E052F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ЦЕНТРАЛІЗОВАНОГО ВОДОПОСТАЧАННЯ</w:t>
      </w:r>
    </w:p>
    <w:p w:rsidR="00E416C7" w:rsidRPr="001E052F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</w:pPr>
      <w:r w:rsidRPr="001E052F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1E052F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 xml:space="preserve">КОМУНАЛЬНОГО ПІДПРИЄМСТВА «ВЕЛИКОШПАНІВСЬКЕ» </w:t>
      </w: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  <w:r w:rsidRPr="001E052F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ШПАНІВСЬКОЇ СІЛЬСЬКОЇ РАДИ</w:t>
      </w:r>
      <w:r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 xml:space="preserve"> НА 2020-2021</w:t>
      </w:r>
      <w:r w:rsidRPr="001E052F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рік.</w:t>
      </w:r>
      <w:r w:rsidRPr="001E052F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Pr="00B973A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</w:pPr>
      <w:r w:rsidRPr="00B973A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 xml:space="preserve">с. </w:t>
      </w:r>
      <w:proofErr w:type="spellStart"/>
      <w:r w:rsidRPr="00B973A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Шпанів</w:t>
      </w:r>
      <w:proofErr w:type="spellEnd"/>
      <w:r w:rsidRPr="00B973A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2020</w:t>
      </w:r>
    </w:p>
    <w:p w:rsidR="00E416C7" w:rsidRPr="001E052F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Pr="004C1ABE" w:rsidRDefault="00E416C7" w:rsidP="00DB12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  <w:t>Вступ</w:t>
      </w:r>
    </w:p>
    <w:p w:rsidR="00E416C7" w:rsidRPr="004C1ABE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Розроблення Інвестиційної програми централізованого водопостачання комунального підприємства «</w:t>
      </w:r>
      <w:proofErr w:type="spellStart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Шпанівської сільської ради на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-2021</w:t>
      </w: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 (надалі – Програма) зумовлено Постановою Кабінету міністрів України від 01.06.2011р. №869 «Про забезпечення єдиного підходу до формування тарифів на житлово-комунальні послуги» із змінами, внесеними Постановою Кабінету міністрів України від 02.09.2015 № 670, якою передбачено планування прибутку для здійснення необхідних інвестицій. Відповідно до п.18 при формув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анні тарифів на централізоване</w:t>
      </w: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водопостачання та водовідведення включається плановий прибуток, що передбачається для підвищення рівня надійності, доцільності та забезпечення  ефективної роботи системи централізованого водопостачання та водовідведення.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КП «</w:t>
      </w:r>
      <w:proofErr w:type="spellStart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є основним надавачем послуг з централізованого водопостачання у селах Шпанівської сільської ради.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На підприємстві розпочато роботу по впровадженню енергоефективних технологій, направлених на максимальне зменшення споживання енергоресурсів під час надання послуг з централізованого водопостачання. Частково проведено реконструкцію артезіанських свердловин із заміною насосного обладнання та встановленням приладів частотного регулювання, що дало змогу досягти зменшення споживаної електроенергії. Саме тому </w:t>
      </w:r>
      <w:proofErr w:type="spellStart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пріорітетом</w:t>
      </w:r>
      <w:proofErr w:type="spellEnd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діяльності підприємства є проведення послідовної політики по впровадженню енергоефективних та ресурсозберігаючих технологій.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Діючі мережі водопостачання сіл побудовані та введені в експлуатацію більше 40 років тому. За тривалий час експлуатації мережі водогонів на окремих ділянках повністю зносились, в результаті чого щомісячно трапляється 5-8 поривів, внаслідок чого стаються значні витоки води та непередбачувані витрати підприємства.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Саме тому існує нагальна потреба переобладнання діючих мереж водопостачання та заміни морально застарілих та фізично зношених водогонів.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4C1ABE" w:rsidRDefault="00E416C7" w:rsidP="00DB12BC">
      <w:pPr>
        <w:pStyle w:val="a3"/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Мета Програми</w:t>
      </w:r>
    </w:p>
    <w:p w:rsidR="00E416C7" w:rsidRDefault="00E416C7" w:rsidP="00E416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Метою програми є забезпечення планового прибутку підприємства, а також планування складової частини зазначеного прибутку, що передбачається для здійснення необхідних інвестицій шляхом впровадження економічно обґрунтованих тарифів.</w:t>
      </w:r>
    </w:p>
    <w:p w:rsidR="00E416C7" w:rsidRPr="00DA2E97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Діючі тарифи на послуги водопостачання встановлені ще в травні 2016 року. Такі низькі тарифи не можуть виконувати свого економічного призначення і повертати підприємству кошти, затрачені на надання даних послуг. </w:t>
      </w:r>
      <w:r w:rsidRPr="00DA2E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планових (коригуючих) тарифах на централізоване водопостачання враховано збільшення цін на енергоносії, паливно-мастильні матеріали, реагенти. Крім того збільшилась мінімальна заробітна плата, а відповідно і єдиний соціальний внесок на загальнообов'язкове державне соціальне страхування працівників. </w:t>
      </w:r>
    </w:p>
    <w:p w:rsidR="00E416C7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Розрахунки щодо планового розміру економічно обґрунтованого тарифу на водопостачання свідчать про те, що діючі тарифи на водопостачання не відповідають фактичним витратам і мають бути збільшені.</w:t>
      </w:r>
    </w:p>
    <w:p w:rsidR="00E416C7" w:rsidRPr="00954674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Збільшення тарифів на водопостачання понесе за собою оправдане невдоволення населення із-за вкрай низької якості питної води. А якість води напряму пов’язана із зношеними водопровідними мережами.  </w:t>
      </w:r>
    </w:p>
    <w:p w:rsidR="00E416C7" w:rsidRPr="004C1ABE" w:rsidRDefault="00E416C7" w:rsidP="00E416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      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Таким чином,  д</w:t>
      </w: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 пріоритетних завдань програми відносяться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наступні: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технічна і технологічна модернізація основних виробничих фондів об’єктів водопостачання та водовідведення,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зменшення енергомісткості надання послуг водопостачання та водовідведення та проведення робіт для збільшення ККД існуючого обладнання,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підвищення ефективності і надійності функціонування систем водопостачання шляхом модернізації існуючих мереж централізованого водопостачання, обладнання і устаткування задіяного на видобуванні води і подачі її в діючу мережу водопостачання та впровадження сучасних енергоефективних технологій і устаткування.</w:t>
      </w:r>
    </w:p>
    <w:p w:rsidR="00E416C7" w:rsidRPr="00954674" w:rsidRDefault="00E416C7" w:rsidP="00E416C7">
      <w:pPr>
        <w:pStyle w:val="a3"/>
        <w:shd w:val="clear" w:color="auto" w:fill="FFFFFF"/>
        <w:spacing w:before="105" w:after="105" w:line="240" w:lineRule="auto"/>
        <w:ind w:left="58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DB12BC">
      <w:pPr>
        <w:pStyle w:val="a3"/>
        <w:numPr>
          <w:ilvl w:val="0"/>
          <w:numId w:val="1"/>
        </w:numPr>
        <w:shd w:val="clear" w:color="auto" w:fill="FFFFFF"/>
        <w:spacing w:before="105" w:after="105" w:line="240" w:lineRule="auto"/>
        <w:ind w:right="225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Шляхи досягнення мети Програми</w:t>
      </w:r>
    </w:p>
    <w:p w:rsidR="00E416C7" w:rsidRPr="00954674" w:rsidRDefault="00E416C7" w:rsidP="00E416C7">
      <w:pPr>
        <w:shd w:val="clear" w:color="auto" w:fill="FFFFFF"/>
        <w:spacing w:after="0" w:line="240" w:lineRule="auto"/>
        <w:ind w:firstLine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Завданнями  програми передбачається розв’язання проблем шляхом:         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реалізації ефективної енергозберігаючої та технічної політики  відповідно до загальнодержавної та регіональної програми реформування і розвитку житлово-комунального господарства шляхом зменшення питомих витрат енергетичних і матеріальних ресурсів під час надання послуг споживачам з централізованого водопостачання та виведення з експлуатації на підприємстві морально застарілого  та фізично зношеного обладнання;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впровадження альтернативних і відновлюваних джерел енергії;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поступового переобладнання діючих мереж централізованого водопостачання та заміна морально застарілих та фізично зношених  водогонів.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удосконалення системи обліку видобутої та спожитої споживачами води шляхом заміни лічильників на нові з меншим порогом чутливості, які обліковують мінімальні витрати води.</w:t>
      </w:r>
    </w:p>
    <w:p w:rsidR="00E416C7" w:rsidRPr="00954674" w:rsidRDefault="00E416C7" w:rsidP="00E416C7">
      <w:pPr>
        <w:pStyle w:val="a3"/>
        <w:shd w:val="clear" w:color="auto" w:fill="FFFFFF"/>
        <w:spacing w:before="105" w:after="105" w:line="240" w:lineRule="auto"/>
        <w:ind w:left="58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DB12BC">
      <w:pPr>
        <w:pStyle w:val="a3"/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Фінансування заходів програми</w:t>
      </w:r>
    </w:p>
    <w:p w:rsidR="00E416C7" w:rsidRPr="00954674" w:rsidRDefault="00E416C7" w:rsidP="00E416C7">
      <w:pPr>
        <w:shd w:val="clear" w:color="auto" w:fill="FFFFFF"/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Фінансування заходів програми планується здійснити за рахунок прибутку від операційної діяльності КП «</w:t>
      </w:r>
      <w:proofErr w:type="spellStart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 місцевого та державного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згідно програми фінансової підтримки комунального підприємства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інших джерел не заборонених законодавством.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3363"/>
        <w:gridCol w:w="1560"/>
        <w:gridCol w:w="4252"/>
      </w:tblGrid>
      <w:tr w:rsidR="00E416C7" w:rsidRPr="00954674" w:rsidTr="001B2577">
        <w:trPr>
          <w:trHeight w:val="996"/>
        </w:trPr>
        <w:tc>
          <w:tcPr>
            <w:tcW w:w="601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</w:p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3363" w:type="dxa"/>
            <w:shd w:val="clear" w:color="auto" w:fill="auto"/>
            <w:vAlign w:val="center"/>
            <w:hideMark/>
          </w:tcPr>
          <w:p w:rsidR="00E416C7" w:rsidRPr="00954674" w:rsidRDefault="00DB12BC" w:rsidP="001F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E416C7"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айменування заходу</w:t>
            </w:r>
          </w:p>
        </w:tc>
        <w:tc>
          <w:tcPr>
            <w:tcW w:w="1560" w:type="dxa"/>
            <w:shd w:val="clear" w:color="auto" w:fill="auto"/>
            <w:hideMark/>
          </w:tcPr>
          <w:p w:rsidR="00E416C7" w:rsidRPr="00954674" w:rsidRDefault="00DB12BC" w:rsidP="00DB12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4252" w:type="dxa"/>
            <w:shd w:val="clear" w:color="auto" w:fill="auto"/>
            <w:hideMark/>
          </w:tcPr>
          <w:p w:rsidR="00E416C7" w:rsidRPr="00954674" w:rsidRDefault="00006C8F" w:rsidP="001F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Примітка</w:t>
            </w:r>
          </w:p>
        </w:tc>
      </w:tr>
      <w:tr w:rsidR="00E416C7" w:rsidRPr="00954674" w:rsidTr="001B2577">
        <w:trPr>
          <w:trHeight w:val="1005"/>
        </w:trPr>
        <w:tc>
          <w:tcPr>
            <w:tcW w:w="601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3363" w:type="dxa"/>
            <w:shd w:val="clear" w:color="auto" w:fill="auto"/>
            <w:hideMark/>
          </w:tcPr>
          <w:p w:rsidR="00BB758B" w:rsidRPr="00BB758B" w:rsidRDefault="00E416C7" w:rsidP="00006C8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та встановлення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шафи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управління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насосами  </w:t>
            </w:r>
            <w:proofErr w:type="spellStart"/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пот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ужністю</w:t>
            </w:r>
            <w:proofErr w:type="spellEnd"/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 кВт на базі одного перетворювача частоти</w:t>
            </w:r>
          </w:p>
        </w:tc>
        <w:tc>
          <w:tcPr>
            <w:tcW w:w="1560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E416C7" w:rsidRPr="00954674" w:rsidRDefault="00006C8F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E416C7" w:rsidRPr="00954674" w:rsidTr="001B2577">
        <w:trPr>
          <w:trHeight w:val="735"/>
        </w:trPr>
        <w:tc>
          <w:tcPr>
            <w:tcW w:w="601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363" w:type="dxa"/>
            <w:shd w:val="clear" w:color="auto" w:fill="auto"/>
            <w:hideMark/>
          </w:tcPr>
          <w:p w:rsidR="00E416C7" w:rsidRPr="001B2577" w:rsidRDefault="00E416C7" w:rsidP="001B25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Придбання та встановлення лічильників 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VPK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на артезіанських свердловинах</w:t>
            </w:r>
            <w:r w:rsidR="00BB758B"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hideMark/>
          </w:tcPr>
          <w:p w:rsidR="00E416C7" w:rsidRPr="001B2577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252" w:type="dxa"/>
            <w:shd w:val="clear" w:color="auto" w:fill="auto"/>
          </w:tcPr>
          <w:p w:rsidR="00E416C7" w:rsidRPr="00BB758B" w:rsidRDefault="00006C8F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</w:p>
        </w:tc>
      </w:tr>
      <w:tr w:rsidR="00E416C7" w:rsidRPr="001B2577" w:rsidTr="001B2577">
        <w:trPr>
          <w:trHeight w:val="735"/>
        </w:trPr>
        <w:tc>
          <w:tcPr>
            <w:tcW w:w="601" w:type="dxa"/>
            <w:shd w:val="clear" w:color="auto" w:fill="auto"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363" w:type="dxa"/>
            <w:shd w:val="clear" w:color="auto" w:fill="auto"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Встановлення </w:t>
            </w:r>
            <w:proofErr w:type="spellStart"/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загальнобудинкових</w:t>
            </w:r>
            <w:proofErr w:type="spellEnd"/>
            <w:r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приладів обліку на багатоквартирних будинках</w:t>
            </w:r>
            <w:r w:rsidR="00BB758B" w:rsidRP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(пропозиція комісії вказати адресу</w:t>
            </w:r>
            <w:r w:rsidR="00BB7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4252" w:type="dxa"/>
            <w:shd w:val="clear" w:color="auto" w:fill="auto"/>
          </w:tcPr>
          <w:p w:rsidR="00DB12BC" w:rsidRDefault="00DB12BC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с.Шпанів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вулиці: Замкова,3</w:t>
            </w:r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(4 </w:t>
            </w:r>
            <w:proofErr w:type="spellStart"/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кв</w:t>
            </w:r>
            <w:proofErr w:type="spellEnd"/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 Замкова,5</w:t>
            </w:r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(12 </w:t>
            </w:r>
            <w:proofErr w:type="spellStart"/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кв</w:t>
            </w:r>
            <w:proofErr w:type="spellEnd"/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 Центральна,1</w:t>
            </w:r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(24кв)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B12BC" w:rsidRDefault="00DB12BC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Центральна,2</w:t>
            </w:r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(6кв)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B12BC" w:rsidRDefault="00DB12BC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Центральна,10</w:t>
            </w:r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(8 </w:t>
            </w:r>
            <w:proofErr w:type="spellStart"/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кв</w:t>
            </w:r>
            <w:proofErr w:type="spellEnd"/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B12BC" w:rsidRDefault="00DB12BC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Центральна,11</w:t>
            </w:r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(4кв)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B12BC" w:rsidRDefault="00DB12BC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Центральна,12</w:t>
            </w:r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(6кв)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B12BC" w:rsidRDefault="00DB12BC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Біла,14-а</w:t>
            </w:r>
            <w:r w:rsidR="001B25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(8кв)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B12BC" w:rsidRDefault="001B2577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Біла,16 (4кв);</w:t>
            </w:r>
          </w:p>
          <w:p w:rsidR="001B2577" w:rsidRDefault="001B2577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Біла,16а (8кв);</w:t>
            </w:r>
          </w:p>
          <w:p w:rsidR="001B2577" w:rsidRDefault="001B2577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с.Великий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Олексин вулиці: Шевченка,4 (16кв);</w:t>
            </w:r>
          </w:p>
          <w:p w:rsidR="001B2577" w:rsidRDefault="001B2577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Шевченка,6 (8кв); Шевченка,10 (8кв) </w:t>
            </w:r>
          </w:p>
          <w:p w:rsidR="001B2577" w:rsidRDefault="001B2577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с.Хотин</w:t>
            </w:r>
            <w:proofErr w:type="spellEnd"/>
          </w:p>
          <w:p w:rsidR="001B2577" w:rsidRDefault="001B2577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вулиці: Робітнича,1 (6кв);</w:t>
            </w:r>
          </w:p>
          <w:p w:rsidR="001B2577" w:rsidRDefault="001B2577" w:rsidP="00DB1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Робітнича,2 (16кв);</w:t>
            </w:r>
          </w:p>
          <w:p w:rsidR="00DB12BC" w:rsidRPr="00954674" w:rsidRDefault="001B2577" w:rsidP="00006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Робітнича,6 (3кв)</w:t>
            </w:r>
          </w:p>
        </w:tc>
      </w:tr>
    </w:tbl>
    <w:p w:rsidR="00E416C7" w:rsidRPr="00954674" w:rsidRDefault="00E416C7" w:rsidP="00E416C7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754AE6" w:rsidRDefault="00E416C7" w:rsidP="00E416C7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Орієнтовний обсяг фінансування  Програми, згідно планів асигнувань на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-2021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складає 600,0 тис. грн.</w:t>
      </w:r>
    </w:p>
    <w:p w:rsidR="00E416C7" w:rsidRPr="00954674" w:rsidRDefault="00E416C7" w:rsidP="00E416C7">
      <w:pPr>
        <w:pStyle w:val="a3"/>
        <w:shd w:val="clear" w:color="auto" w:fill="FFFFFF"/>
        <w:spacing w:after="0" w:line="240" w:lineRule="auto"/>
        <w:ind w:left="585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006C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Очікувані результати виконання Програми.</w:t>
      </w:r>
    </w:p>
    <w:p w:rsidR="00E416C7" w:rsidRPr="00954674" w:rsidRDefault="00E416C7" w:rsidP="00E4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       Виконання Програми дасть можливість підвищити рівень ефективності використання палива та електроенергії, скоротити використання паливно-енергетичних ресурсів та зменшення витрат за рахунок їх заощадження.</w:t>
      </w:r>
    </w:p>
    <w:p w:rsidR="00E416C7" w:rsidRDefault="00E416C7" w:rsidP="00E4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  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знизити витрати на виробництво одиниці продукції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E416C7" w:rsidRPr="00152252" w:rsidRDefault="00E416C7" w:rsidP="00E416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522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створити умови для залучення фінансових ресурсів необхідних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522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оновлення та модернізації виробничих фондів;</w:t>
      </w: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зменшити обсяг використання електроенергії для надання послуг з централізованого водопостачання  </w:t>
      </w: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  -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зменшити витрати на проведення капітального ремонту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бувших у використанні насосних агрегатів.</w:t>
      </w: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</w:t>
      </w: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254F4" w:rsidRPr="00E416C7" w:rsidRDefault="00122A1C">
      <w:pPr>
        <w:rPr>
          <w:lang w:val="uk-UA"/>
        </w:rPr>
      </w:pPr>
    </w:p>
    <w:sectPr w:rsidR="001254F4" w:rsidRPr="00E416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007FA"/>
    <w:multiLevelType w:val="hybridMultilevel"/>
    <w:tmpl w:val="C794043A"/>
    <w:lvl w:ilvl="0" w:tplc="7668DE46">
      <w:start w:val="2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>
    <w:nsid w:val="72D05D00"/>
    <w:multiLevelType w:val="hybridMultilevel"/>
    <w:tmpl w:val="693206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C7"/>
    <w:rsid w:val="00006C8F"/>
    <w:rsid w:val="000B3003"/>
    <w:rsid w:val="00122A1C"/>
    <w:rsid w:val="001B2577"/>
    <w:rsid w:val="001D5882"/>
    <w:rsid w:val="005726C6"/>
    <w:rsid w:val="00596E12"/>
    <w:rsid w:val="00AA1A90"/>
    <w:rsid w:val="00BB758B"/>
    <w:rsid w:val="00DB12BC"/>
    <w:rsid w:val="00E4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AA214-E9F0-4B04-A85F-489C4DA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6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6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2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2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960E7-BD47-4614-9606-124C8A3D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cp:lastPrinted>2020-03-18T13:21:00Z</cp:lastPrinted>
  <dcterms:created xsi:type="dcterms:W3CDTF">2020-02-07T08:56:00Z</dcterms:created>
  <dcterms:modified xsi:type="dcterms:W3CDTF">2020-03-18T13:23:00Z</dcterms:modified>
</cp:coreProperties>
</file>