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5F0" w:rsidRPr="00C745F0" w:rsidRDefault="00C745F0" w:rsidP="00C745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C745F0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ru-RU"/>
        </w:rPr>
        <w:drawing>
          <wp:inline distT="0" distB="0" distL="0" distR="0" wp14:anchorId="6B953347" wp14:editId="55DD174A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745F0" w:rsidRPr="00C745F0" w:rsidRDefault="00C745F0" w:rsidP="00C745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C745F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Україна</w:t>
      </w:r>
      <w:r w:rsidRPr="00C745F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 xml:space="preserve"> </w:t>
      </w:r>
    </w:p>
    <w:p w:rsidR="00C745F0" w:rsidRPr="00C745F0" w:rsidRDefault="00C745F0" w:rsidP="00C745F0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</w:pPr>
      <w:r w:rsidRPr="00C745F0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:rsid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745F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</w:p>
    <w:p w:rsidR="00221823" w:rsidRPr="00C745F0" w:rsidRDefault="00221823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(</w:t>
      </w:r>
      <w:proofErr w:type="spellStart"/>
      <w:proofErr w:type="gramStart"/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сьоме</w:t>
      </w:r>
      <w:proofErr w:type="spellEnd"/>
      <w:proofErr w:type="gramEnd"/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proofErr w:type="spellStart"/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скликання</w:t>
      </w:r>
      <w:proofErr w:type="spellEnd"/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)</w:t>
      </w: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  <w:r w:rsidRPr="00C745F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C745F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C745F0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</w:pPr>
      <w:r w:rsidRPr="00C745F0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27</w:t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червня</w:t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2019 року</w:t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="00221823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ab/>
        <w:t>№</w:t>
      </w:r>
      <w:r w:rsidR="00221823">
        <w:rPr>
          <w:rFonts w:ascii="Times New Roman" w:eastAsia="SimSun" w:hAnsi="Times New Roman" w:cs="Mangal"/>
          <w:kern w:val="3"/>
          <w:sz w:val="28"/>
          <w:szCs w:val="28"/>
          <w:u w:val="single"/>
          <w:lang w:val="uk-UA" w:eastAsia="zh-CN" w:bidi="hi-IN"/>
        </w:rPr>
        <w:t>509</w:t>
      </w:r>
      <w:r w:rsidRPr="00C745F0">
        <w:rPr>
          <w:rFonts w:ascii="Times New Roman" w:eastAsia="SimSun" w:hAnsi="Times New Roman" w:cs="Mangal"/>
          <w:kern w:val="3"/>
          <w:sz w:val="28"/>
          <w:szCs w:val="28"/>
          <w:lang w:val="uk-UA" w:eastAsia="zh-CN" w:bidi="hi-IN"/>
        </w:rPr>
        <w:t>___</w:t>
      </w:r>
    </w:p>
    <w:p w:rsidR="00C745F0" w:rsidRPr="00C745F0" w:rsidRDefault="00C745F0" w:rsidP="00C745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про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745F0"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Default="00C745F0" w:rsidP="00C745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268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2755-VI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02.12.2010 року,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законодавчих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адміністрування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перегляду ставок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» No2628- VШ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23.11.2018 року,</w:t>
      </w:r>
      <w:r w:rsidR="005122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22F5">
        <w:rPr>
          <w:rFonts w:ascii="Times New Roman" w:hAnsi="Times New Roman" w:cs="Times New Roman"/>
          <w:sz w:val="28"/>
          <w:szCs w:val="28"/>
        </w:rPr>
        <w:t>постійних</w:t>
      </w:r>
      <w:proofErr w:type="spellEnd"/>
      <w:r w:rsidR="00512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2F5">
        <w:rPr>
          <w:rFonts w:ascii="Times New Roman" w:hAnsi="Times New Roman" w:cs="Times New Roman"/>
          <w:sz w:val="28"/>
          <w:szCs w:val="28"/>
        </w:rPr>
        <w:t>депутатських</w:t>
      </w:r>
      <w:proofErr w:type="spellEnd"/>
      <w:r w:rsidR="005122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2F5">
        <w:rPr>
          <w:rFonts w:ascii="Times New Roman" w:hAnsi="Times New Roman" w:cs="Times New Roman"/>
          <w:sz w:val="28"/>
          <w:szCs w:val="28"/>
        </w:rPr>
        <w:t>комісій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п.24 ч.1 ст.26 Закону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»,</w:t>
      </w:r>
      <w:r w:rsidR="005122F5">
        <w:rPr>
          <w:rFonts w:ascii="Times New Roman" w:hAnsi="Times New Roman" w:cs="Times New Roman"/>
          <w:sz w:val="28"/>
          <w:szCs w:val="28"/>
          <w:lang w:val="uk-UA"/>
        </w:rPr>
        <w:t xml:space="preserve"> сесія</w:t>
      </w:r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</w:t>
      </w:r>
      <w:r w:rsidR="005122F5"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2F5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2F5">
        <w:rPr>
          <w:rFonts w:ascii="Times New Roman" w:hAnsi="Times New Roman" w:cs="Times New Roman"/>
          <w:sz w:val="28"/>
          <w:szCs w:val="28"/>
        </w:rPr>
        <w:t xml:space="preserve"> ради</w:t>
      </w:r>
      <w:proofErr w:type="gramEnd"/>
    </w:p>
    <w:p w:rsidR="005122F5" w:rsidRPr="00C745F0" w:rsidRDefault="005122F5" w:rsidP="00C745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5F0" w:rsidRPr="00C745F0" w:rsidRDefault="00C745F0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5F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="005122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823">
        <w:rPr>
          <w:rFonts w:ascii="Times New Roman" w:hAnsi="Times New Roman" w:cs="Times New Roman"/>
          <w:sz w:val="28"/>
          <w:szCs w:val="28"/>
          <w:lang w:val="uk-UA"/>
        </w:rPr>
        <w:t>0,</w:t>
      </w:r>
      <w:proofErr w:type="gramStart"/>
      <w:r w:rsidR="0022182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відсотка</w:t>
      </w:r>
      <w:proofErr w:type="spellEnd"/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 - для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внутрішнього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туризму та 0,5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відсотка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- для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в’їзного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туризму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мінімальної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плати,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встановленої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законом на 1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) року,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особи за одну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добу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2.Затвердити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 1 (додається на 1 аркуші).</w:t>
      </w:r>
    </w:p>
    <w:p w:rsidR="00C745F0" w:rsidRPr="00C745F0" w:rsidRDefault="00A2724E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745F0" w:rsidRPr="00C745F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чинне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з дня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оприлюднення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C745F0" w:rsidRDefault="00A2724E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745F0" w:rsidRPr="00C745F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C745F0" w:rsidRPr="00C745F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proofErr w:type="gram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="00C745F0" w:rsidRPr="00C745F0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C745F0" w:rsidRPr="00C745F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12.02.2019 року </w:t>
      </w:r>
      <w:r w:rsidR="00C745F0" w:rsidRPr="00C745F0">
        <w:rPr>
          <w:rFonts w:ascii="Times New Roman" w:hAnsi="Times New Roman" w:cs="Times New Roman"/>
          <w:sz w:val="28"/>
          <w:szCs w:val="28"/>
          <w:lang w:val="uk-UA"/>
        </w:rPr>
        <w:t>№390</w:t>
      </w:r>
      <w:r w:rsidR="00C745F0" w:rsidRPr="00C745F0">
        <w:rPr>
          <w:rFonts w:ascii="Times New Roman" w:hAnsi="Times New Roman" w:cs="Times New Roman"/>
          <w:sz w:val="28"/>
          <w:szCs w:val="28"/>
        </w:rPr>
        <w:t xml:space="preserve"> «Про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745F0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туристичного</w:t>
      </w:r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Шпанівсьокої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ради»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втратило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чинність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5122F5" w:rsidRDefault="00A2724E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745F0" w:rsidRPr="00C745F0">
        <w:rPr>
          <w:rFonts w:ascii="Times New Roman" w:hAnsi="Times New Roman" w:cs="Times New Roman"/>
          <w:sz w:val="28"/>
          <w:szCs w:val="28"/>
        </w:rPr>
        <w:t xml:space="preserve">. </w:t>
      </w:r>
      <w:r w:rsidR="005122F5">
        <w:rPr>
          <w:rFonts w:ascii="Times New Roman" w:hAnsi="Times New Roman" w:cs="Times New Roman"/>
          <w:sz w:val="28"/>
          <w:szCs w:val="28"/>
          <w:lang w:val="uk-UA"/>
        </w:rPr>
        <w:t>Секретарю сільської р</w:t>
      </w:r>
      <w:r w:rsidR="00221823">
        <w:rPr>
          <w:rFonts w:ascii="Times New Roman" w:hAnsi="Times New Roman" w:cs="Times New Roman"/>
          <w:sz w:val="28"/>
          <w:szCs w:val="28"/>
          <w:lang w:val="uk-UA"/>
        </w:rPr>
        <w:t xml:space="preserve">ади </w:t>
      </w:r>
      <w:proofErr w:type="spellStart"/>
      <w:r w:rsidR="00221823">
        <w:rPr>
          <w:rFonts w:ascii="Times New Roman" w:hAnsi="Times New Roman" w:cs="Times New Roman"/>
          <w:sz w:val="28"/>
          <w:szCs w:val="28"/>
          <w:lang w:val="uk-UA"/>
        </w:rPr>
        <w:t>Догойді</w:t>
      </w:r>
      <w:proofErr w:type="spellEnd"/>
      <w:r w:rsidR="00221823">
        <w:rPr>
          <w:rFonts w:ascii="Times New Roman" w:hAnsi="Times New Roman" w:cs="Times New Roman"/>
          <w:sz w:val="28"/>
          <w:szCs w:val="28"/>
          <w:lang w:val="uk-UA"/>
        </w:rPr>
        <w:t xml:space="preserve"> М.Ю. оприлюднити рі</w:t>
      </w:r>
      <w:r w:rsidR="005122F5">
        <w:rPr>
          <w:rFonts w:ascii="Times New Roman" w:hAnsi="Times New Roman" w:cs="Times New Roman"/>
          <w:sz w:val="28"/>
          <w:szCs w:val="28"/>
          <w:lang w:val="uk-UA"/>
        </w:rPr>
        <w:t>шення шляхом розміщення на інформаційному стенді, офіційному сайті сільської ради і забезпечити направлення копії рішення до органу державної фіскальної служби у Рівненській області.</w:t>
      </w:r>
    </w:p>
    <w:p w:rsidR="00C745F0" w:rsidRDefault="00A2724E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745F0" w:rsidRPr="00C745F0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депутатську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з</w:t>
      </w:r>
      <w:r w:rsidR="00C745F0"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745F0" w:rsidRPr="00C745F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C745F0"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="005122F5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розвитку, бюджету та фінансів (Вознюк З.В.)</w:t>
      </w:r>
    </w:p>
    <w:p w:rsidR="00A2724E" w:rsidRDefault="00A2724E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5F0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  <w:t>Столярчук М.А.</w:t>
      </w:r>
    </w:p>
    <w:p w:rsidR="00A2724E" w:rsidRDefault="00A2724E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823" w:rsidRDefault="00221823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823" w:rsidRPr="00C745F0" w:rsidRDefault="00221823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745F0" w:rsidRPr="00C745F0" w:rsidRDefault="00C745F0" w:rsidP="00C745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745F0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C745F0" w:rsidRPr="00C745F0" w:rsidRDefault="00C745F0" w:rsidP="00C745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сесії</w:t>
      </w:r>
      <w:proofErr w:type="spellEnd"/>
    </w:p>
    <w:p w:rsidR="00C745F0" w:rsidRPr="00C745F0" w:rsidRDefault="00C745F0" w:rsidP="00C745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C745F0" w:rsidRPr="00C745F0" w:rsidRDefault="00C745F0" w:rsidP="00C745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C745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 27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.06.</w:t>
      </w:r>
      <w:r w:rsidRPr="00C745F0">
        <w:rPr>
          <w:rFonts w:ascii="Times New Roman" w:hAnsi="Times New Roman" w:cs="Times New Roman"/>
          <w:sz w:val="28"/>
          <w:szCs w:val="28"/>
        </w:rPr>
        <w:t xml:space="preserve"> 2019 року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№____</w:t>
      </w:r>
    </w:p>
    <w:p w:rsidR="00C745F0" w:rsidRPr="00C745F0" w:rsidRDefault="00C745F0" w:rsidP="00C745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45F0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C745F0" w:rsidRPr="00C745F0" w:rsidRDefault="00C745F0" w:rsidP="00C745F0">
      <w:pPr>
        <w:jc w:val="center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</w:p>
    <w:p w:rsidR="00C745F0" w:rsidRPr="00C745F0" w:rsidRDefault="00C745F0" w:rsidP="00C745F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розроблено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268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No2755-17 ВР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02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2010року,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законодавчих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адміністрування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перегляду ставок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» No2628- VШ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23.11.2018 року.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1.2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місцевий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зараховуються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 бюджету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1.3.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обов’язковим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особами на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створена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законом та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перспективним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планом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громад.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Платники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Платниками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громадяни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іноземці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, а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особи без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громадянства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прибувають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адміністративно-територіальної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одиниці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діє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 про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розміщуються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),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745F0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 пунктом 5.1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2.2.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Платниками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бути особи,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: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найму у </w:t>
      </w:r>
      <w:r w:rsidR="00A2724E">
        <w:rPr>
          <w:rFonts w:ascii="Times New Roman" w:hAnsi="Times New Roman" w:cs="Times New Roman"/>
          <w:sz w:val="28"/>
          <w:szCs w:val="28"/>
          <w:lang w:val="uk-UA"/>
        </w:rPr>
        <w:t>селах</w:t>
      </w:r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724E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="00A2724E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;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особи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підпунктом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"в"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підпункту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14.1.213 пункту 14.1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 xml:space="preserve">Кодексу,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прибули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відрядження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розміщуються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підпунктом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"б" пункту 5.1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належать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фізичним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особам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 договором найму;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інваліди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діти-інваліди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особи,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супроводжують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інвалідів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-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745F0">
        <w:rPr>
          <w:rFonts w:ascii="Times New Roman" w:hAnsi="Times New Roman" w:cs="Times New Roman"/>
          <w:sz w:val="28"/>
          <w:szCs w:val="28"/>
        </w:rPr>
        <w:t>інвалідів</w:t>
      </w:r>
      <w:proofErr w:type="spellEnd"/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 (не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супроводжуючого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);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ветерани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;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ґ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аварії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Чорнобильській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АЕС;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особи,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прибули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путівками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курсовками в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санаторії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пансіонати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віком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 18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;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є)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дитячі</w:t>
      </w:r>
      <w:proofErr w:type="spellEnd"/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лікувально-профілактичні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фізкультурно-оздоровчі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санаторно-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курортні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lastRenderedPageBreak/>
        <w:t>ж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члени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другого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споріднення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підпункту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14.1.263 пункту 14.1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14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Кодексу,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розміщуються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такою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фізичною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особою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підпунктом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"б" пункту 5.1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належать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 договором найму.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3. Ставка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3.1. Ставка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ради, за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кожну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добу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особи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5F0">
        <w:rPr>
          <w:rFonts w:ascii="Times New Roman" w:hAnsi="Times New Roman" w:cs="Times New Roman"/>
          <w:sz w:val="28"/>
          <w:szCs w:val="28"/>
        </w:rPr>
        <w:t>пунктом .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>5.1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мінімальної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плати,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встановленої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законом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 xml:space="preserve">на 1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 року, для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особи за одну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добу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4. База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4.1. Базою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діб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пунктом 5.1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5.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агенти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)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5.1.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здійснюватися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 таких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):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готелі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кемпінги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мотелі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гуртожитки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приїжджих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хостели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будинки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,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гірські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притулки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табори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пансіонати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готельного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типу, санаторно-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курортні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;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прибудова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квартира,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котедж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кімната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садовий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дачний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, будь-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використовуються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).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5.2.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здійснюватися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 xml:space="preserve">такими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агентами: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філіями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відділеннями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відокремленими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підрозділами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 пунктом 7.2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особами -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підприємцями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надають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пунктом 5.1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;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>) квартирно-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посередницькими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направляють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неорганізованих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 xml:space="preserve">метою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підпунктом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 xml:space="preserve">"б" пункту 5.1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належать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фізичним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особам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 договором найму;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5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уповноважуються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міською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справляти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 xml:space="preserve">договору,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укладеного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відповідною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радою.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6.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Особливості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6.1.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Платники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сплачують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суму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авансовим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внеском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тимчасовим</w:t>
      </w:r>
      <w:proofErr w:type="spellEnd"/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745F0">
        <w:rPr>
          <w:rFonts w:ascii="Times New Roman" w:hAnsi="Times New Roman" w:cs="Times New Roman"/>
          <w:sz w:val="28"/>
          <w:szCs w:val="28"/>
        </w:rPr>
        <w:t>розміщенням</w:t>
      </w:r>
      <w:proofErr w:type="spellEnd"/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податковим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агентам,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справляють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 xml:space="preserve">ставками,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 з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За один і той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самий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платника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745F0">
        <w:rPr>
          <w:rFonts w:ascii="Times New Roman" w:hAnsi="Times New Roman" w:cs="Times New Roman"/>
          <w:sz w:val="28"/>
          <w:szCs w:val="28"/>
        </w:rPr>
        <w:lastRenderedPageBreak/>
        <w:t>адміністративно</w:t>
      </w:r>
      <w:proofErr w:type="gramEnd"/>
      <w:r w:rsidRPr="00C745F0">
        <w:rPr>
          <w:rFonts w:ascii="Times New Roman" w:hAnsi="Times New Roman" w:cs="Times New Roman"/>
          <w:sz w:val="28"/>
          <w:szCs w:val="28"/>
        </w:rPr>
        <w:t>-територіальної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одиниці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повторне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сплаченого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платником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допускається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6.2. Особа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тимчасове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платника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),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належать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такій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платника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документа,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підтверджує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сплату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Кодексу та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C745F0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6.3.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дострокового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залишення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особою, яка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сплатила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адміністративно-територіальної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одиниці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, сума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надмірно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сплаченого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поверненню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такій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законом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>порядку.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Розділ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7. Порядок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7.1. Сума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обчислена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 квартал,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сплачується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агентами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щоквартально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для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 xml:space="preserve">квартального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строк,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авансовими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внесками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 30 числа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включно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 за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місцезнаходженням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агентів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агенти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сплачують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авансовими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внесками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відображають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745F0">
        <w:rPr>
          <w:rFonts w:ascii="Times New Roman" w:hAnsi="Times New Roman" w:cs="Times New Roman"/>
          <w:sz w:val="28"/>
          <w:szCs w:val="28"/>
        </w:rPr>
        <w:t>податковій</w:t>
      </w:r>
      <w:proofErr w:type="spellEnd"/>
      <w:proofErr w:type="gram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 квартал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нарахованих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щомісячних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авансових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внесків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остаточна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сума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обчислена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податкової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 квартал (з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внесених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авансових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платежів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сплачується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такими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податковими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агентами у строки,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для квартального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7.2.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агент,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підрозділ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без статусу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5F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 не за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агента,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зобов'язаний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підрозділ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агента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туристичного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у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контролюючому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органі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місцезнаходженням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підрозділу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>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5F0">
        <w:rPr>
          <w:rFonts w:ascii="Times New Roman" w:hAnsi="Times New Roman" w:cs="Times New Roman"/>
          <w:sz w:val="28"/>
          <w:szCs w:val="28"/>
        </w:rPr>
        <w:t xml:space="preserve">7.3.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Базовий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податковий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5F0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Pr="00C745F0">
        <w:rPr>
          <w:rFonts w:ascii="Times New Roman" w:hAnsi="Times New Roman" w:cs="Times New Roman"/>
          <w:sz w:val="28"/>
          <w:szCs w:val="28"/>
        </w:rPr>
        <w:t xml:space="preserve"> календарному кварталу.</w:t>
      </w: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5F0">
        <w:rPr>
          <w:rFonts w:ascii="Times New Roman" w:hAnsi="Times New Roman" w:cs="Times New Roman"/>
          <w:sz w:val="28"/>
          <w:szCs w:val="28"/>
          <w:lang w:val="uk-UA"/>
        </w:rPr>
        <w:t>Секретар сільської ради</w:t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45F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C745F0">
        <w:rPr>
          <w:rFonts w:ascii="Times New Roman" w:hAnsi="Times New Roman" w:cs="Times New Roman"/>
          <w:sz w:val="28"/>
          <w:szCs w:val="28"/>
          <w:lang w:val="uk-UA"/>
        </w:rPr>
        <w:t>Догойда</w:t>
      </w:r>
      <w:proofErr w:type="spellEnd"/>
      <w:r w:rsidRPr="00C745F0">
        <w:rPr>
          <w:rFonts w:ascii="Times New Roman" w:hAnsi="Times New Roman" w:cs="Times New Roman"/>
          <w:sz w:val="28"/>
          <w:szCs w:val="28"/>
          <w:lang w:val="uk-UA"/>
        </w:rPr>
        <w:t xml:space="preserve"> М.Ю.</w:t>
      </w:r>
    </w:p>
    <w:p w:rsidR="00C745F0" w:rsidRPr="00C745F0" w:rsidRDefault="00C745F0" w:rsidP="00C745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45F0" w:rsidRPr="00C745F0" w:rsidRDefault="00C745F0" w:rsidP="00C745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2C89" w:rsidRDefault="00221823"/>
    <w:sectPr w:rsidR="00EF2C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F0"/>
    <w:rsid w:val="00080ED1"/>
    <w:rsid w:val="00221823"/>
    <w:rsid w:val="005122F5"/>
    <w:rsid w:val="005636FD"/>
    <w:rsid w:val="00A2724E"/>
    <w:rsid w:val="00C745F0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2CC59-C983-4611-BB2A-EC602BAE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1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8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C9DDC-807C-464C-9F5F-4F8DD0C6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5</cp:revision>
  <cp:lastPrinted>2019-07-02T09:36:00Z</cp:lastPrinted>
  <dcterms:created xsi:type="dcterms:W3CDTF">2019-06-19T09:52:00Z</dcterms:created>
  <dcterms:modified xsi:type="dcterms:W3CDTF">2019-07-02T09:36:00Z</dcterms:modified>
</cp:coreProperties>
</file>