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90" w:rsidRPr="00145275" w:rsidRDefault="007A6C90" w:rsidP="00145275">
      <w:pPr>
        <w:pStyle w:val="a3"/>
        <w:spacing w:line="240" w:lineRule="auto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</w:t>
      </w:r>
      <w:r w:rsidRPr="00145275">
        <w:rPr>
          <w:sz w:val="24"/>
          <w:szCs w:val="24"/>
        </w:rPr>
        <w:t xml:space="preserve">Додаток  </w:t>
      </w:r>
      <w:r w:rsidR="00125238">
        <w:rPr>
          <w:sz w:val="24"/>
          <w:szCs w:val="24"/>
        </w:rPr>
        <w:t>___</w:t>
      </w:r>
    </w:p>
    <w:p w:rsidR="00145275" w:rsidRDefault="007A6C90" w:rsidP="00145275">
      <w:pPr>
        <w:pStyle w:val="a3"/>
        <w:spacing w:line="240" w:lineRule="auto"/>
        <w:jc w:val="right"/>
        <w:rPr>
          <w:sz w:val="24"/>
          <w:szCs w:val="24"/>
        </w:rPr>
      </w:pPr>
      <w:r w:rsidRPr="00145275">
        <w:rPr>
          <w:sz w:val="24"/>
          <w:szCs w:val="24"/>
        </w:rPr>
        <w:t xml:space="preserve">                                                            до Програми соціально-економічного </w:t>
      </w:r>
    </w:p>
    <w:p w:rsidR="007A6C90" w:rsidRPr="00145275" w:rsidRDefault="00145275" w:rsidP="00145275">
      <w:pPr>
        <w:pStyle w:val="a3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розвитку</w:t>
      </w:r>
      <w:r w:rsidR="007A6C90" w:rsidRPr="00145275">
        <w:rPr>
          <w:sz w:val="24"/>
          <w:szCs w:val="24"/>
        </w:rPr>
        <w:t xml:space="preserve"> на </w:t>
      </w:r>
      <w:r w:rsidR="009E3747">
        <w:rPr>
          <w:sz w:val="24"/>
          <w:szCs w:val="24"/>
        </w:rPr>
        <w:t xml:space="preserve"> </w:t>
      </w:r>
      <w:r w:rsidR="00125238">
        <w:rPr>
          <w:sz w:val="24"/>
          <w:szCs w:val="24"/>
        </w:rPr>
        <w:t>2021-2023</w:t>
      </w:r>
      <w:r w:rsidR="009E3747">
        <w:rPr>
          <w:sz w:val="24"/>
          <w:szCs w:val="24"/>
        </w:rPr>
        <w:t xml:space="preserve"> рік</w:t>
      </w:r>
    </w:p>
    <w:p w:rsidR="007A6C90" w:rsidRDefault="007A6C90" w:rsidP="007A6C90">
      <w:pPr>
        <w:pStyle w:val="a3"/>
        <w:spacing w:line="240" w:lineRule="auto"/>
      </w:pPr>
    </w:p>
    <w:p w:rsidR="00F83744" w:rsidRPr="00F83744" w:rsidRDefault="00F83744" w:rsidP="00F837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ПРОГРАМА</w:t>
      </w:r>
    </w:p>
    <w:p w:rsidR="00A52168" w:rsidRPr="0097242C" w:rsidRDefault="00A52168" w:rsidP="00F83744">
      <w:pPr>
        <w:jc w:val="center"/>
        <w:rPr>
          <w:b/>
          <w:color w:val="000000"/>
        </w:rPr>
      </w:pPr>
      <w:r w:rsidRPr="0097242C">
        <w:rPr>
          <w:b/>
          <w:color w:val="000000"/>
        </w:rPr>
        <w:t xml:space="preserve">підтримки діяльності </w:t>
      </w:r>
      <w:r w:rsidR="00DA3574">
        <w:rPr>
          <w:b/>
          <w:color w:val="000000"/>
        </w:rPr>
        <w:t xml:space="preserve">футбольних команд, </w:t>
      </w:r>
      <w:r w:rsidRPr="0097242C">
        <w:rPr>
          <w:b/>
          <w:color w:val="000000"/>
        </w:rPr>
        <w:t xml:space="preserve">громадських організацій </w:t>
      </w:r>
      <w:r w:rsidRPr="0097242C">
        <w:rPr>
          <w:b/>
        </w:rPr>
        <w:t>фізкультурно-спортивного спрямування</w:t>
      </w:r>
      <w:r w:rsidR="00152108">
        <w:rPr>
          <w:b/>
        </w:rPr>
        <w:t xml:space="preserve"> </w:t>
      </w:r>
      <w:r w:rsidR="00DA3574">
        <w:rPr>
          <w:b/>
          <w:color w:val="000000"/>
        </w:rPr>
        <w:t>та</w:t>
      </w:r>
      <w:r w:rsidR="00DA3574">
        <w:rPr>
          <w:b/>
        </w:rPr>
        <w:t xml:space="preserve"> </w:t>
      </w:r>
      <w:r w:rsidR="00152108">
        <w:rPr>
          <w:b/>
        </w:rPr>
        <w:t>спортивних клубів</w:t>
      </w:r>
      <w:r w:rsidR="00EC607B">
        <w:rPr>
          <w:b/>
        </w:rPr>
        <w:t>, зареєстрованих</w:t>
      </w:r>
      <w:r w:rsidRPr="0097242C">
        <w:rPr>
          <w:b/>
          <w:color w:val="000000"/>
        </w:rPr>
        <w:t xml:space="preserve"> </w:t>
      </w:r>
      <w:r w:rsidR="00F83744">
        <w:rPr>
          <w:b/>
          <w:color w:val="000000"/>
        </w:rPr>
        <w:t>на території</w:t>
      </w:r>
      <w:r w:rsidR="00F83744" w:rsidRPr="00F83744">
        <w:rPr>
          <w:b/>
        </w:rPr>
        <w:t xml:space="preserve"> </w:t>
      </w:r>
      <w:r w:rsidR="00F83744" w:rsidRPr="00145275">
        <w:rPr>
          <w:b/>
        </w:rPr>
        <w:t>Шпанівської сільської ради</w:t>
      </w:r>
    </w:p>
    <w:p w:rsidR="00A52168" w:rsidRPr="0097242C" w:rsidRDefault="00A52168" w:rsidP="00A52168">
      <w:pPr>
        <w:rPr>
          <w:b/>
          <w:color w:val="000000"/>
        </w:rPr>
      </w:pP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І. Загальні положення</w:t>
      </w:r>
    </w:p>
    <w:p w:rsidR="00A52168" w:rsidRPr="0097242C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1.1. </w:t>
      </w:r>
      <w:r w:rsidRPr="0097242C">
        <w:rPr>
          <w:lang w:eastAsia="uk-UA"/>
        </w:rPr>
        <w:t>Програма розроблена відповідно до Закону України «Про фізичну культу</w:t>
      </w:r>
      <w:r w:rsidR="00125238">
        <w:rPr>
          <w:lang w:eastAsia="uk-UA"/>
        </w:rPr>
        <w:t>ру і спорт» і розрахована на 2021-2023</w:t>
      </w:r>
      <w:r w:rsidRPr="0097242C">
        <w:rPr>
          <w:lang w:eastAsia="uk-UA"/>
        </w:rPr>
        <w:t xml:space="preserve"> роки, що дасть можливість виконати поставлені завдання згідно із сучасними потребами економічного та соціального розвитку країни.</w:t>
      </w:r>
    </w:p>
    <w:p w:rsidR="00A52168" w:rsidRPr="0097242C" w:rsidRDefault="00A52168" w:rsidP="00A52168">
      <w:pPr>
        <w:ind w:firstLine="720"/>
        <w:jc w:val="both"/>
      </w:pPr>
      <w:r>
        <w:t xml:space="preserve">1.2. </w:t>
      </w:r>
      <w:r w:rsidRPr="0097242C">
        <w:t xml:space="preserve">Програма фінансової підтримки </w:t>
      </w:r>
      <w:r w:rsidR="00DA3574">
        <w:t>футбольних команд,</w:t>
      </w:r>
      <w:r w:rsidR="00DA3574" w:rsidRPr="0097242C">
        <w:t xml:space="preserve"> </w:t>
      </w:r>
      <w:r w:rsidRPr="0097242C">
        <w:t>громадських організацій фізку</w:t>
      </w:r>
      <w:r w:rsidR="00DA3574">
        <w:t>льтурно-спортивного спрямування</w:t>
      </w:r>
      <w:r w:rsidR="00152108">
        <w:t xml:space="preserve"> </w:t>
      </w:r>
      <w:r w:rsidR="00DA3574">
        <w:t>та</w:t>
      </w:r>
      <w:r w:rsidR="00DA3574" w:rsidRPr="0097242C">
        <w:t xml:space="preserve"> </w:t>
      </w:r>
      <w:r w:rsidRPr="0097242C">
        <w:t>спортивних клубів</w:t>
      </w:r>
      <w:r w:rsidR="00DA3574">
        <w:t>,</w:t>
      </w:r>
      <w:r w:rsidR="00152108">
        <w:t xml:space="preserve"> </w:t>
      </w:r>
      <w:r w:rsidRPr="0097242C">
        <w:t xml:space="preserve">зареєстрованих на території </w:t>
      </w:r>
      <w:r w:rsidR="00152108">
        <w:t>Шпанівської сільської ради</w:t>
      </w:r>
      <w:r w:rsidR="00EC607B">
        <w:t>,</w:t>
      </w:r>
      <w:r w:rsidR="00125238">
        <w:t xml:space="preserve"> на 2021-2023</w:t>
      </w:r>
      <w:r w:rsidRPr="0097242C">
        <w:t xml:space="preserve"> роки (далі Програма) - це комплекс заходів, які спрямовані на підвищення ефективності реалізації державної політики у сфері фізичної культури і спорту.</w:t>
      </w:r>
    </w:p>
    <w:p w:rsidR="00A52168" w:rsidRPr="0097242C" w:rsidRDefault="00A52168" w:rsidP="00A52168">
      <w:pPr>
        <w:ind w:firstLine="720"/>
        <w:jc w:val="both"/>
      </w:pPr>
      <w:r>
        <w:t xml:space="preserve">1.3. </w:t>
      </w:r>
      <w:r w:rsidRPr="0097242C">
        <w:t>Реалізація Програми забезпечить створення умов для покращення фізичного потенціалу і здоров'я населення, прискорить процес адаптації фізкультурно-спортивного руху до ринкових відносин, дасть змогу вийти на рівень передових показників фізичного розвитку населення та спортивних досягнень.</w:t>
      </w: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ІІ. Мета та завдання Програми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2.1. </w:t>
      </w:r>
      <w:r w:rsidRPr="0097242C">
        <w:rPr>
          <w:lang w:eastAsia="uk-UA"/>
        </w:rPr>
        <w:t xml:space="preserve">Програма визначає стратегію розвитку сфери фізичної культури і спорту на території </w:t>
      </w:r>
      <w:r w:rsidR="00152108">
        <w:t>Шпанівської сільської</w:t>
      </w:r>
      <w:r w:rsidRPr="0097242C">
        <w:t xml:space="preserve"> ради </w:t>
      </w:r>
      <w:r w:rsidR="002C599D">
        <w:rPr>
          <w:lang w:eastAsia="uk-UA"/>
        </w:rPr>
        <w:t>на 2021-2023</w:t>
      </w:r>
      <w:r w:rsidRPr="0097242C">
        <w:rPr>
          <w:lang w:eastAsia="uk-UA"/>
        </w:rPr>
        <w:t xml:space="preserve"> роки. </w:t>
      </w:r>
    </w:p>
    <w:p w:rsidR="00A52168" w:rsidRDefault="00A52168" w:rsidP="00A52168">
      <w:pPr>
        <w:ind w:firstLine="720"/>
        <w:jc w:val="both"/>
      </w:pPr>
      <w:r>
        <w:t>2.2. Метою Програми є:</w:t>
      </w:r>
    </w:p>
    <w:p w:rsidR="00A52168" w:rsidRDefault="00A52168" w:rsidP="00A52168">
      <w:pPr>
        <w:numPr>
          <w:ilvl w:val="0"/>
          <w:numId w:val="3"/>
        </w:numPr>
        <w:suppressAutoHyphens w:val="0"/>
        <w:jc w:val="both"/>
        <w:rPr>
          <w:lang w:eastAsia="uk-UA"/>
        </w:rPr>
      </w:pPr>
      <w:r w:rsidRPr="0031644A">
        <w:rPr>
          <w:lang w:eastAsia="uk-UA"/>
        </w:rPr>
        <w:t>створення умов для залучення широких верств населення до систематичних занять фізичною культурою та масовим спортом з урахуванням віку, статі, стану здоров’я, інтересів, побажань, здібностей та індивідуальних особливостей кожного, популяризації здорового способу життя та сприяння розвитку фізку</w:t>
      </w:r>
      <w:r w:rsidR="00152108">
        <w:rPr>
          <w:lang w:eastAsia="uk-UA"/>
        </w:rPr>
        <w:t>льтурно-спортивної реабілітації;</w:t>
      </w:r>
    </w:p>
    <w:p w:rsidR="00A52168" w:rsidRDefault="00A52168" w:rsidP="00A52168">
      <w:pPr>
        <w:numPr>
          <w:ilvl w:val="0"/>
          <w:numId w:val="3"/>
        </w:numPr>
        <w:suppressAutoHyphens w:val="0"/>
        <w:jc w:val="both"/>
        <w:rPr>
          <w:lang w:eastAsia="uk-UA"/>
        </w:rPr>
      </w:pPr>
      <w:r w:rsidRPr="0031644A">
        <w:rPr>
          <w:lang w:eastAsia="uk-UA"/>
        </w:rPr>
        <w:t>забезпечення розвитку всіх напрямів фізичної культури, базуючись на принци</w:t>
      </w:r>
      <w:r w:rsidR="00152108">
        <w:rPr>
          <w:lang w:eastAsia="uk-UA"/>
        </w:rPr>
        <w:t>пах рівності та недискримінації.</w:t>
      </w:r>
    </w:p>
    <w:p w:rsidR="00A52168" w:rsidRPr="0097242C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2.3. </w:t>
      </w:r>
      <w:r w:rsidRPr="0097242C">
        <w:rPr>
          <w:lang w:eastAsia="uk-UA"/>
        </w:rPr>
        <w:t>Основними завданнями програми є: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31644A">
        <w:rPr>
          <w:lang w:eastAsia="uk-UA"/>
        </w:rPr>
        <w:t>створення цілісної системи забезпечення сфери фізичної культури і спорту шляхом удосконалення кадрового, матеріально-технічного, фінансового</w:t>
      </w:r>
      <w:r>
        <w:rPr>
          <w:lang w:eastAsia="uk-UA"/>
        </w:rPr>
        <w:t xml:space="preserve"> та</w:t>
      </w:r>
      <w:r w:rsidRPr="0031644A">
        <w:rPr>
          <w:lang w:eastAsia="uk-UA"/>
        </w:rPr>
        <w:t xml:space="preserve"> інформаційного забезпечення, активізації співпраці з громадськими організаціями фізкультурно-спортивної спрямованості, удосконалення системи морального і матеріального заохочення у сфері фізичної культури та спорту, стимулювання досягнення високих спортивних результатів</w:t>
      </w:r>
      <w:r w:rsidR="00152108">
        <w:rPr>
          <w:lang w:eastAsia="uk-UA"/>
        </w:rPr>
        <w:t>;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7E5D9A">
        <w:rPr>
          <w:lang w:eastAsia="uk-UA"/>
        </w:rPr>
        <w:t>забезпечення розвитку дитячо-юнацького, ветеранського спорту та спорту інвалі</w:t>
      </w:r>
      <w:r w:rsidR="00152108">
        <w:rPr>
          <w:lang w:eastAsia="uk-UA"/>
        </w:rPr>
        <w:t>дів;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7E5D9A">
        <w:rPr>
          <w:lang w:eastAsia="uk-UA"/>
        </w:rPr>
        <w:t xml:space="preserve">забезпечення розвитку спорту для задоволення видовищних та </w:t>
      </w:r>
      <w:proofErr w:type="spellStart"/>
      <w:r w:rsidRPr="007E5D9A">
        <w:rPr>
          <w:lang w:eastAsia="uk-UA"/>
        </w:rPr>
        <w:t>розважально</w:t>
      </w:r>
      <w:proofErr w:type="spellEnd"/>
      <w:r w:rsidRPr="007E5D9A">
        <w:rPr>
          <w:lang w:eastAsia="uk-UA"/>
        </w:rPr>
        <w:t>-емоційних запитів населення, ствердження гордості співгромадян, посилення авторитету громади у спортивному русі;</w:t>
      </w:r>
    </w:p>
    <w:p w:rsidR="00A52168" w:rsidRDefault="00A52168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 w:rsidRPr="007E5D9A">
        <w:rPr>
          <w:lang w:eastAsia="uk-UA"/>
        </w:rPr>
        <w:t>зміцнення та модернізація матеріально-технічної бази фізкуль</w:t>
      </w:r>
      <w:r>
        <w:rPr>
          <w:lang w:eastAsia="uk-UA"/>
        </w:rPr>
        <w:t>турно-спортивної галузі громади</w:t>
      </w:r>
      <w:r w:rsidR="00841C53">
        <w:rPr>
          <w:lang w:eastAsia="uk-UA"/>
        </w:rPr>
        <w:t>;</w:t>
      </w:r>
    </w:p>
    <w:p w:rsidR="00841C53" w:rsidRDefault="00841C53" w:rsidP="00A52168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t xml:space="preserve">створення необхідних, соціально-економічних, нормативно-правових, організаційно-технічних умов для розвитку футболу в Шпанівській сільській раді, </w:t>
      </w:r>
      <w:r w:rsidRPr="00145275">
        <w:rPr>
          <w:rFonts w:eastAsia="Calibri"/>
        </w:rPr>
        <w:t>особливо аматорськ</w:t>
      </w:r>
      <w:r w:rsidRPr="00145275">
        <w:t>ого</w:t>
      </w:r>
      <w:r w:rsidRPr="00145275">
        <w:rPr>
          <w:rFonts w:eastAsia="Calibri"/>
        </w:rPr>
        <w:t xml:space="preserve"> футбол</w:t>
      </w:r>
      <w:r w:rsidRPr="00145275">
        <w:t>у</w:t>
      </w:r>
      <w:r w:rsidRPr="00145275">
        <w:rPr>
          <w:rFonts w:eastAsia="Calibri"/>
        </w:rPr>
        <w:t>, сприяння його розвитку, масовості, гідного представництва на рівні району та області, досягнення високих спортивних результатів</w:t>
      </w:r>
      <w:r>
        <w:t>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lastRenderedPageBreak/>
        <w:t>залучення населення до масової гри у футбол та збільшення чисельності вболівальників на футбольних матчах;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підвищення ефективності інформаційного забезпечення і впровадження нових організаційних форм пропаганди футболу;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 xml:space="preserve">формування у населення, особливо у дітей та молоді, суспільної думки переваг здорового способу життя, культу соціально-активної та фізично здорової особистості; 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створення умов для проведення змагань з аматорського футболу серед широких верств населення;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підвищення рівня організації та проведення змагань і турнірів з аматорського футболу;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 xml:space="preserve">створення позабюджетних цільових фондів за участю громадських організацій і комерційних структур; </w:t>
      </w:r>
    </w:p>
    <w:p w:rsidR="00841C53" w:rsidRDefault="00841C53" w:rsidP="00841C53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забезпечення будівництва футбольних майданчиків із синтетичним покриттям;</w:t>
      </w:r>
    </w:p>
    <w:p w:rsidR="00841C53" w:rsidRPr="0097242C" w:rsidRDefault="00841C53" w:rsidP="00DA3574">
      <w:pPr>
        <w:numPr>
          <w:ilvl w:val="0"/>
          <w:numId w:val="4"/>
        </w:numPr>
        <w:suppressAutoHyphens w:val="0"/>
        <w:jc w:val="both"/>
        <w:rPr>
          <w:lang w:eastAsia="uk-UA"/>
        </w:rPr>
      </w:pPr>
      <w:r>
        <w:rPr>
          <w:lang w:eastAsia="uk-UA"/>
        </w:rPr>
        <w:t>проведення ремонтних робіт футбольних полів, майданчиків з трав’яним покриттям, прилеглої до них території.</w:t>
      </w:r>
    </w:p>
    <w:p w:rsidR="00A52168" w:rsidRPr="0097242C" w:rsidRDefault="00A52168" w:rsidP="00A52168">
      <w:pPr>
        <w:jc w:val="center"/>
        <w:rPr>
          <w:lang w:eastAsia="uk-UA"/>
        </w:rPr>
      </w:pPr>
      <w:r>
        <w:rPr>
          <w:b/>
          <w:bCs/>
          <w:lang w:eastAsia="uk-UA"/>
        </w:rPr>
        <w:t>ІІІ</w:t>
      </w:r>
      <w:r w:rsidRPr="0097242C">
        <w:rPr>
          <w:b/>
          <w:bCs/>
          <w:lang w:eastAsia="uk-UA"/>
        </w:rPr>
        <w:t>. Очікувані результати Програми</w:t>
      </w:r>
    </w:p>
    <w:p w:rsidR="00A52168" w:rsidRDefault="00A52168" w:rsidP="00A52168">
      <w:pPr>
        <w:pStyle w:val="a3"/>
        <w:numPr>
          <w:ilvl w:val="1"/>
          <w:numId w:val="2"/>
        </w:numPr>
        <w:suppressAutoHyphens w:val="0"/>
        <w:spacing w:line="240" w:lineRule="auto"/>
        <w:ind w:right="12"/>
        <w:jc w:val="left"/>
        <w:rPr>
          <w:sz w:val="24"/>
        </w:rPr>
      </w:pPr>
      <w:r w:rsidRPr="00BE17B3">
        <w:rPr>
          <w:sz w:val="24"/>
        </w:rPr>
        <w:t>Реалізація Програми дозволить забезпечити:</w:t>
      </w:r>
    </w:p>
    <w:p w:rsidR="00A52168" w:rsidRDefault="00A5216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 w:rsidRPr="00DB473D">
        <w:rPr>
          <w:sz w:val="24"/>
          <w:szCs w:val="24"/>
          <w:lang w:eastAsia="uk-UA"/>
        </w:rPr>
        <w:t>запровадження доступних, якісних та різноманітних форм оздоровчих, рекреаційних, реабілітаційних та спортивних п</w:t>
      </w:r>
      <w:r w:rsidR="00152108">
        <w:rPr>
          <w:sz w:val="24"/>
          <w:szCs w:val="24"/>
          <w:lang w:eastAsia="uk-UA"/>
        </w:rPr>
        <w:t>ослуг для різних груп населення;</w:t>
      </w:r>
    </w:p>
    <w:p w:rsidR="00A52168" w:rsidRDefault="0015210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підвищення рівня</w:t>
      </w:r>
      <w:r w:rsidR="00A52168" w:rsidRPr="00DB473D">
        <w:rPr>
          <w:sz w:val="24"/>
          <w:szCs w:val="24"/>
          <w:lang w:eastAsia="uk-UA"/>
        </w:rPr>
        <w:t xml:space="preserve"> охоплення громадян, насамперед дітей та молоді, всіма видами фізкультурно-оздоровчої та спортивно-масової роботи</w:t>
      </w:r>
      <w:r>
        <w:rPr>
          <w:sz w:val="24"/>
          <w:szCs w:val="24"/>
          <w:lang w:eastAsia="uk-UA"/>
        </w:rPr>
        <w:t>;</w:t>
      </w:r>
    </w:p>
    <w:p w:rsidR="00A52168" w:rsidRDefault="0015210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приведення</w:t>
      </w:r>
      <w:r w:rsidR="00A52168" w:rsidRPr="00DB473D">
        <w:rPr>
          <w:sz w:val="24"/>
          <w:szCs w:val="24"/>
          <w:lang w:eastAsia="uk-UA"/>
        </w:rPr>
        <w:t xml:space="preserve"> стан</w:t>
      </w:r>
      <w:r>
        <w:rPr>
          <w:sz w:val="24"/>
          <w:szCs w:val="24"/>
          <w:lang w:eastAsia="uk-UA"/>
        </w:rPr>
        <w:t>у</w:t>
      </w:r>
      <w:r w:rsidR="00A52168" w:rsidRPr="00DB473D">
        <w:rPr>
          <w:sz w:val="24"/>
          <w:szCs w:val="24"/>
          <w:lang w:eastAsia="uk-UA"/>
        </w:rPr>
        <w:t xml:space="preserve"> спортивних об’єктів громади у відповідність із сучасними стандартами, що </w:t>
      </w:r>
      <w:proofErr w:type="spellStart"/>
      <w:r w:rsidR="00A52168" w:rsidRPr="00DB473D">
        <w:rPr>
          <w:sz w:val="24"/>
          <w:szCs w:val="24"/>
          <w:lang w:eastAsia="uk-UA"/>
        </w:rPr>
        <w:t>надасть</w:t>
      </w:r>
      <w:proofErr w:type="spellEnd"/>
      <w:r w:rsidR="00A52168" w:rsidRPr="00DB473D">
        <w:rPr>
          <w:sz w:val="24"/>
          <w:szCs w:val="24"/>
          <w:lang w:eastAsia="uk-UA"/>
        </w:rPr>
        <w:t xml:space="preserve"> змогу забезпечити на спортивних спорудах мінімальний об</w:t>
      </w:r>
      <w:r>
        <w:rPr>
          <w:sz w:val="24"/>
          <w:szCs w:val="24"/>
          <w:lang w:eastAsia="uk-UA"/>
        </w:rPr>
        <w:t>сяг рухової активності громадян;</w:t>
      </w:r>
    </w:p>
    <w:p w:rsidR="00A52168" w:rsidRDefault="00152108" w:rsidP="00A52168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створення належних умов</w:t>
      </w:r>
      <w:r w:rsidR="00A52168" w:rsidRPr="00DB473D">
        <w:rPr>
          <w:sz w:val="24"/>
          <w:szCs w:val="24"/>
          <w:lang w:eastAsia="uk-UA"/>
        </w:rPr>
        <w:t xml:space="preserve"> для соціальної адаптації та фізкультурно-спортивної реабілітації інвалідів та осіб з обмеженими фізичними можливостями;</w:t>
      </w:r>
    </w:p>
    <w:p w:rsidR="00A52168" w:rsidRDefault="00152108" w:rsidP="00841C53">
      <w:pPr>
        <w:pStyle w:val="a3"/>
        <w:numPr>
          <w:ilvl w:val="0"/>
          <w:numId w:val="5"/>
        </w:numPr>
        <w:suppressAutoHyphens w:val="0"/>
        <w:spacing w:line="240" w:lineRule="auto"/>
        <w:ind w:right="12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удосконалення системи</w:t>
      </w:r>
      <w:r w:rsidR="00A52168" w:rsidRPr="00DB473D">
        <w:rPr>
          <w:sz w:val="24"/>
          <w:szCs w:val="24"/>
          <w:lang w:eastAsia="uk-UA"/>
        </w:rPr>
        <w:t xml:space="preserve"> підготовки спортсменів, </w:t>
      </w:r>
      <w:r>
        <w:rPr>
          <w:sz w:val="24"/>
          <w:szCs w:val="24"/>
          <w:lang w:eastAsia="uk-UA"/>
        </w:rPr>
        <w:t>сприяння</w:t>
      </w:r>
      <w:r w:rsidR="00A52168">
        <w:rPr>
          <w:sz w:val="24"/>
          <w:szCs w:val="24"/>
          <w:lang w:eastAsia="uk-UA"/>
        </w:rPr>
        <w:t xml:space="preserve"> покращенню результатів</w:t>
      </w:r>
      <w:r w:rsidR="00A52168" w:rsidRPr="00DB473D">
        <w:rPr>
          <w:sz w:val="24"/>
          <w:szCs w:val="24"/>
          <w:lang w:eastAsia="uk-UA"/>
        </w:rPr>
        <w:t xml:space="preserve"> виступів спортсменів</w:t>
      </w:r>
      <w:r w:rsidR="00A52168">
        <w:rPr>
          <w:sz w:val="24"/>
          <w:szCs w:val="24"/>
          <w:lang w:eastAsia="uk-UA"/>
        </w:rPr>
        <w:t>, з метою</w:t>
      </w:r>
      <w:r w:rsidR="00A52168" w:rsidRPr="00DB473D">
        <w:rPr>
          <w:sz w:val="24"/>
          <w:szCs w:val="24"/>
          <w:lang w:eastAsia="uk-UA"/>
        </w:rPr>
        <w:t xml:space="preserve"> збільш</w:t>
      </w:r>
      <w:r w:rsidR="00A52168">
        <w:rPr>
          <w:sz w:val="24"/>
          <w:szCs w:val="24"/>
          <w:lang w:eastAsia="uk-UA"/>
        </w:rPr>
        <w:t>ення кількості</w:t>
      </w:r>
      <w:r w:rsidR="00A52168" w:rsidRPr="00DB473D">
        <w:rPr>
          <w:sz w:val="24"/>
          <w:szCs w:val="24"/>
          <w:lang w:eastAsia="uk-UA"/>
        </w:rPr>
        <w:t xml:space="preserve"> завойованих нагород на змаг</w:t>
      </w:r>
      <w:r w:rsidR="00A52168">
        <w:rPr>
          <w:sz w:val="24"/>
          <w:szCs w:val="24"/>
          <w:lang w:eastAsia="uk-UA"/>
        </w:rPr>
        <w:t>аннях, що сприятиме підвищенню</w:t>
      </w:r>
      <w:r w:rsidR="00A52168" w:rsidRPr="00DB473D">
        <w:rPr>
          <w:sz w:val="24"/>
          <w:szCs w:val="24"/>
          <w:lang w:eastAsia="uk-UA"/>
        </w:rPr>
        <w:t xml:space="preserve"> патріотичних п</w:t>
      </w:r>
      <w:r w:rsidR="00A52168">
        <w:rPr>
          <w:sz w:val="24"/>
          <w:szCs w:val="24"/>
          <w:lang w:eastAsia="uk-UA"/>
        </w:rPr>
        <w:t xml:space="preserve">очуттів у громадян та </w:t>
      </w:r>
      <w:r w:rsidR="00A52168" w:rsidRPr="00DB473D">
        <w:rPr>
          <w:sz w:val="24"/>
          <w:szCs w:val="24"/>
          <w:lang w:eastAsia="uk-UA"/>
        </w:rPr>
        <w:t xml:space="preserve"> авторитету </w:t>
      </w:r>
      <w:r>
        <w:rPr>
          <w:sz w:val="24"/>
          <w:szCs w:val="24"/>
          <w:lang w:eastAsia="uk-UA"/>
        </w:rPr>
        <w:t>Шпанівської сільської</w:t>
      </w:r>
      <w:r w:rsidR="00A52168">
        <w:rPr>
          <w:sz w:val="24"/>
          <w:szCs w:val="24"/>
          <w:lang w:eastAsia="uk-UA"/>
        </w:rPr>
        <w:t xml:space="preserve"> ради</w:t>
      </w:r>
      <w:r w:rsidR="00A52168" w:rsidRPr="00DB473D">
        <w:rPr>
          <w:sz w:val="24"/>
          <w:szCs w:val="24"/>
          <w:lang w:eastAsia="uk-UA"/>
        </w:rPr>
        <w:t xml:space="preserve"> у обласному та всеукраїнському спортивному співтоваристві.</w:t>
      </w: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ІV. Фінансове забезпечення Програми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4.1. </w:t>
      </w:r>
      <w:r w:rsidRPr="0097242C">
        <w:rPr>
          <w:lang w:eastAsia="uk-UA"/>
        </w:rPr>
        <w:t>Фінансування Програми здійснюється за рахунок коштів місцевого бюджету, як</w:t>
      </w:r>
      <w:r>
        <w:rPr>
          <w:lang w:eastAsia="uk-UA"/>
        </w:rPr>
        <w:t>і передбачаються для виконання П</w:t>
      </w:r>
      <w:r w:rsidRPr="0097242C">
        <w:rPr>
          <w:lang w:eastAsia="uk-UA"/>
        </w:rPr>
        <w:t xml:space="preserve">рограм і заходів з розвитку фізичної культури і спорту, а також за рахунок інших джерел, не заборонених законодавством, враховуючи власні ресурси </w:t>
      </w:r>
      <w:r w:rsidR="00E7420A">
        <w:rPr>
          <w:lang w:eastAsia="uk-UA"/>
        </w:rPr>
        <w:t xml:space="preserve">футбольних команд, </w:t>
      </w:r>
      <w:r w:rsidRPr="0097242C">
        <w:rPr>
          <w:lang w:eastAsia="uk-UA"/>
        </w:rPr>
        <w:t>громадських організацій фізкультурно-спортивної спрямованості, підприємств і організацій різних форм власності, вітчизняних та іноземних інвесторів, спонсорів, власні кошти громадян.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4.2. </w:t>
      </w:r>
      <w:r w:rsidRPr="0097242C">
        <w:rPr>
          <w:lang w:eastAsia="uk-UA"/>
        </w:rPr>
        <w:t>Обсяги видатків місцевого бюджету на виконання Програми щорічно визначаються у межах кошторисних бюджетних призначень на відповідні роки</w:t>
      </w:r>
      <w:r>
        <w:rPr>
          <w:lang w:eastAsia="uk-UA"/>
        </w:rPr>
        <w:t>.</w:t>
      </w:r>
    </w:p>
    <w:p w:rsidR="00A52168" w:rsidRDefault="00A52168" w:rsidP="00A52168">
      <w:pPr>
        <w:ind w:firstLine="708"/>
        <w:jc w:val="both"/>
      </w:pPr>
      <w:r>
        <w:rPr>
          <w:lang w:eastAsia="uk-UA"/>
        </w:rPr>
        <w:t xml:space="preserve">4.3. </w:t>
      </w:r>
      <w:r w:rsidRPr="00F329A2">
        <w:t xml:space="preserve">Для отримання фінансової підтримки </w:t>
      </w:r>
      <w:r w:rsidR="00E7420A">
        <w:t xml:space="preserve">футбольні команди, </w:t>
      </w:r>
      <w:r>
        <w:t>громадські організації щорічно до 30 листо</w:t>
      </w:r>
      <w:r w:rsidR="00C50696">
        <w:t>пада поточного року та щоквартально</w:t>
      </w:r>
      <w:r>
        <w:t xml:space="preserve"> до 10 числа </w:t>
      </w:r>
      <w:r w:rsidRPr="00F329A2">
        <w:t>подають</w:t>
      </w:r>
      <w:r>
        <w:t xml:space="preserve"> відділу освіти, культури, молоді та спорту </w:t>
      </w:r>
      <w:r w:rsidR="00C50696">
        <w:t>Шпанівської сільської</w:t>
      </w:r>
      <w:r>
        <w:t xml:space="preserve"> ради копію статуту (положення) громадської організації (</w:t>
      </w:r>
      <w:proofErr w:type="spellStart"/>
      <w:r>
        <w:t>разово</w:t>
      </w:r>
      <w:proofErr w:type="spellEnd"/>
      <w:r>
        <w:t>) та відповідний кошторис витрат</w:t>
      </w:r>
      <w:r w:rsidRPr="00F329A2">
        <w:t>, що передує періоду, в якому надаватиметься фінансова підтримка</w:t>
      </w:r>
      <w:r>
        <w:t>.</w:t>
      </w:r>
    </w:p>
    <w:p w:rsidR="00A52168" w:rsidRDefault="00A52168" w:rsidP="00A52168">
      <w:pPr>
        <w:ind w:firstLine="708"/>
        <w:jc w:val="both"/>
      </w:pPr>
      <w:r>
        <w:t>4.4. Відділ освіти, культури, молод</w:t>
      </w:r>
      <w:r w:rsidR="00C50696">
        <w:t>і та спорту Шпанівської сільської</w:t>
      </w:r>
      <w:r>
        <w:t xml:space="preserve"> ради</w:t>
      </w:r>
      <w:r w:rsidRPr="00F329A2">
        <w:t xml:space="preserve"> вносить на розгляд </w:t>
      </w:r>
      <w:r>
        <w:t>селищного голови</w:t>
      </w:r>
      <w:r w:rsidRPr="00F329A2">
        <w:t xml:space="preserve"> </w:t>
      </w:r>
      <w:r>
        <w:t>відповідні кошториси</w:t>
      </w:r>
      <w:r w:rsidRPr="00F329A2">
        <w:t xml:space="preserve"> громадських організацій</w:t>
      </w:r>
      <w:r w:rsidR="00C50696">
        <w:t>, футбольних команд</w:t>
      </w:r>
      <w:r w:rsidRPr="00F329A2">
        <w:t xml:space="preserve"> щодо надання фінансово</w:t>
      </w:r>
      <w:r w:rsidR="00C50696">
        <w:t>ї підтримки та документи до них</w:t>
      </w:r>
      <w:r w:rsidRPr="00F329A2">
        <w:t xml:space="preserve"> для прийняття рішення про надання фінансової підтримки та визначення напрямків використання коштів.</w:t>
      </w:r>
    </w:p>
    <w:p w:rsidR="00A52168" w:rsidRDefault="00A52168" w:rsidP="00A52168">
      <w:pPr>
        <w:ind w:firstLine="708"/>
        <w:jc w:val="both"/>
      </w:pPr>
      <w:r>
        <w:t xml:space="preserve">4.5. </w:t>
      </w:r>
      <w:r w:rsidR="00E7420A">
        <w:rPr>
          <w:rStyle w:val="rvts0"/>
        </w:rPr>
        <w:t>Футбольні команди, г</w:t>
      </w:r>
      <w:r w:rsidRPr="00F329A2">
        <w:rPr>
          <w:rStyle w:val="rvts0"/>
        </w:rPr>
        <w:t>ромадські організації, що отримують фінансову підтримку за рахунок коштів міс</w:t>
      </w:r>
      <w:r>
        <w:rPr>
          <w:rStyle w:val="rvts0"/>
        </w:rPr>
        <w:t>цевого</w:t>
      </w:r>
      <w:r w:rsidRPr="00F329A2">
        <w:rPr>
          <w:rStyle w:val="rvts0"/>
        </w:rPr>
        <w:t xml:space="preserve"> бюджету, зобов'язані подавати</w:t>
      </w:r>
      <w:r>
        <w:rPr>
          <w:rStyle w:val="rvts0"/>
        </w:rPr>
        <w:t xml:space="preserve"> у </w:t>
      </w:r>
      <w:r>
        <w:t>відділ освіти, культури, молод</w:t>
      </w:r>
      <w:r w:rsidR="00C50696">
        <w:t>і та спорту Шпанівської сільської</w:t>
      </w:r>
      <w:r>
        <w:t xml:space="preserve"> ради</w:t>
      </w:r>
      <w:r w:rsidRPr="00F329A2">
        <w:rPr>
          <w:rStyle w:val="rvts0"/>
        </w:rPr>
        <w:t xml:space="preserve"> та оприлюднювати звіти про цільове використання цих </w:t>
      </w:r>
      <w:r w:rsidRPr="00F329A2">
        <w:rPr>
          <w:rStyle w:val="rvts0"/>
        </w:rPr>
        <w:lastRenderedPageBreak/>
        <w:t>кош</w:t>
      </w:r>
      <w:r>
        <w:rPr>
          <w:rStyle w:val="rvts0"/>
        </w:rPr>
        <w:t>тів щорічно не пізніше 10</w:t>
      </w:r>
      <w:r w:rsidRPr="00F329A2">
        <w:rPr>
          <w:rStyle w:val="rvts0"/>
        </w:rPr>
        <w:t xml:space="preserve"> січня</w:t>
      </w:r>
      <w:r>
        <w:rPr>
          <w:rStyle w:val="rvts0"/>
        </w:rPr>
        <w:t xml:space="preserve"> </w:t>
      </w:r>
      <w:r w:rsidRPr="00F329A2">
        <w:rPr>
          <w:rStyle w:val="rvts0"/>
        </w:rPr>
        <w:t>року, наступного за тим, у якому організація отримувала фінансову підтримку.</w:t>
      </w:r>
    </w:p>
    <w:p w:rsidR="00FB747E" w:rsidRPr="00FB747E" w:rsidRDefault="00FB747E" w:rsidP="00FB747E">
      <w:pPr>
        <w:jc w:val="center"/>
      </w:pPr>
      <w:r>
        <w:rPr>
          <w:lang w:val="en-US"/>
        </w:rPr>
        <w:t>V</w:t>
      </w:r>
      <w:r w:rsidRPr="00FB747E">
        <w:t xml:space="preserve">. </w:t>
      </w:r>
      <w:r w:rsidRPr="00FB747E">
        <w:rPr>
          <w:b/>
        </w:rPr>
        <w:t>Обмеження дії Програми</w:t>
      </w:r>
    </w:p>
    <w:p w:rsidR="00A52168" w:rsidRDefault="00FB747E" w:rsidP="00E7420A">
      <w:pPr>
        <w:pStyle w:val="a3"/>
        <w:spacing w:line="240" w:lineRule="auto"/>
        <w:rPr>
          <w:sz w:val="24"/>
          <w:szCs w:val="24"/>
        </w:rPr>
      </w:pPr>
      <w:r w:rsidRPr="00FB74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 w:rsidRPr="00FB747E">
        <w:rPr>
          <w:sz w:val="24"/>
          <w:szCs w:val="24"/>
        </w:rPr>
        <w:t>Дія даної Програми поширюється на футбольні колективи, у яких</w:t>
      </w:r>
      <w:r>
        <w:rPr>
          <w:sz w:val="24"/>
          <w:szCs w:val="24"/>
        </w:rPr>
        <w:t>,</w:t>
      </w:r>
      <w:r w:rsidRPr="00FB747E">
        <w:rPr>
          <w:sz w:val="24"/>
          <w:szCs w:val="24"/>
        </w:rPr>
        <w:t xml:space="preserve"> згідно із заявочним листом</w:t>
      </w:r>
      <w:r>
        <w:rPr>
          <w:sz w:val="24"/>
          <w:szCs w:val="24"/>
        </w:rPr>
        <w:t>,</w:t>
      </w:r>
      <w:r w:rsidRPr="00FB747E">
        <w:rPr>
          <w:sz w:val="24"/>
          <w:szCs w:val="24"/>
        </w:rPr>
        <w:t xml:space="preserve"> мі</w:t>
      </w:r>
      <w:r>
        <w:rPr>
          <w:sz w:val="24"/>
          <w:szCs w:val="24"/>
        </w:rPr>
        <w:t>сцеве населення (особа, зареєстрована</w:t>
      </w:r>
      <w:r w:rsidRPr="00FB747E">
        <w:rPr>
          <w:sz w:val="24"/>
          <w:szCs w:val="24"/>
        </w:rPr>
        <w:t xml:space="preserve"> </w:t>
      </w:r>
      <w:r>
        <w:rPr>
          <w:sz w:val="24"/>
          <w:szCs w:val="24"/>
        </w:rPr>
        <w:t>або народилася чи проживала раніше</w:t>
      </w:r>
      <w:r w:rsidRPr="00FB747E">
        <w:rPr>
          <w:sz w:val="24"/>
          <w:szCs w:val="24"/>
        </w:rPr>
        <w:t xml:space="preserve"> на </w:t>
      </w:r>
      <w:r w:rsidR="007D6461">
        <w:rPr>
          <w:sz w:val="24"/>
          <w:szCs w:val="24"/>
        </w:rPr>
        <w:t>території Шпанівської сільської ради</w:t>
      </w:r>
      <w:r>
        <w:rPr>
          <w:sz w:val="24"/>
          <w:szCs w:val="24"/>
        </w:rPr>
        <w:t xml:space="preserve">) </w:t>
      </w:r>
      <w:r w:rsidRPr="00FB747E">
        <w:rPr>
          <w:sz w:val="24"/>
          <w:szCs w:val="24"/>
        </w:rPr>
        <w:t>становить 2/3 від загаль</w:t>
      </w:r>
      <w:r>
        <w:rPr>
          <w:sz w:val="24"/>
          <w:szCs w:val="24"/>
        </w:rPr>
        <w:t>ної кількості.</w:t>
      </w:r>
      <w:r w:rsidR="00DA3574" w:rsidRPr="00DA3574">
        <w:t xml:space="preserve"> </w:t>
      </w:r>
      <w:r w:rsidR="00DA3574">
        <w:rPr>
          <w:sz w:val="24"/>
          <w:szCs w:val="24"/>
        </w:rPr>
        <w:t>При цьому безпосередньо п</w:t>
      </w:r>
      <w:r w:rsidR="00DA3574" w:rsidRPr="00DA3574">
        <w:rPr>
          <w:sz w:val="24"/>
          <w:szCs w:val="24"/>
        </w:rPr>
        <w:t xml:space="preserve">ід час </w:t>
      </w:r>
      <w:r w:rsidR="00DA3574">
        <w:rPr>
          <w:sz w:val="24"/>
          <w:szCs w:val="24"/>
        </w:rPr>
        <w:t xml:space="preserve">проведення </w:t>
      </w:r>
      <w:r w:rsidR="00DA3574" w:rsidRPr="00DA3574">
        <w:rPr>
          <w:sz w:val="24"/>
          <w:szCs w:val="24"/>
        </w:rPr>
        <w:t xml:space="preserve">матчу на футбольному полі </w:t>
      </w:r>
      <w:r w:rsidR="00DA3574">
        <w:rPr>
          <w:sz w:val="24"/>
          <w:szCs w:val="24"/>
        </w:rPr>
        <w:t>одночасно має перебувати</w:t>
      </w:r>
      <w:r w:rsidR="00DA3574" w:rsidRPr="00DA3574">
        <w:rPr>
          <w:sz w:val="24"/>
          <w:szCs w:val="24"/>
        </w:rPr>
        <w:t xml:space="preserve"> 6 (шість) осіб місцевого населення.</w:t>
      </w:r>
    </w:p>
    <w:p w:rsidR="007D6461" w:rsidRPr="00E7420A" w:rsidRDefault="007D6461" w:rsidP="00E7420A">
      <w:pPr>
        <w:pStyle w:val="a3"/>
        <w:spacing w:line="240" w:lineRule="auto"/>
        <w:rPr>
          <w:sz w:val="24"/>
          <w:szCs w:val="24"/>
        </w:rPr>
      </w:pPr>
    </w:p>
    <w:p w:rsidR="00A52168" w:rsidRPr="0097242C" w:rsidRDefault="00A52168" w:rsidP="00A52168">
      <w:pPr>
        <w:jc w:val="center"/>
        <w:rPr>
          <w:lang w:eastAsia="uk-UA"/>
        </w:rPr>
      </w:pPr>
      <w:r w:rsidRPr="0097242C">
        <w:rPr>
          <w:b/>
          <w:bCs/>
          <w:lang w:eastAsia="uk-UA"/>
        </w:rPr>
        <w:t>V</w:t>
      </w:r>
      <w:r w:rsidR="00FB747E">
        <w:rPr>
          <w:b/>
          <w:bCs/>
          <w:lang w:eastAsia="uk-UA"/>
        </w:rPr>
        <w:t>І</w:t>
      </w:r>
      <w:r w:rsidRPr="0097242C">
        <w:rPr>
          <w:b/>
          <w:bCs/>
          <w:lang w:eastAsia="uk-UA"/>
        </w:rPr>
        <w:t>. Управління та контроль за ходом виконання Програми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5.1. </w:t>
      </w:r>
      <w:r w:rsidRPr="0097242C">
        <w:rPr>
          <w:lang w:eastAsia="uk-UA"/>
        </w:rPr>
        <w:t xml:space="preserve">Головним виконавцем і координатором Програми є відділ </w:t>
      </w:r>
      <w:r>
        <w:rPr>
          <w:lang w:eastAsia="uk-UA"/>
        </w:rPr>
        <w:t xml:space="preserve">освіти, </w:t>
      </w:r>
      <w:r w:rsidRPr="0097242C">
        <w:rPr>
          <w:lang w:eastAsia="uk-UA"/>
        </w:rPr>
        <w:t>культури,</w:t>
      </w:r>
      <w:r>
        <w:rPr>
          <w:lang w:eastAsia="uk-UA"/>
        </w:rPr>
        <w:t xml:space="preserve"> </w:t>
      </w:r>
      <w:r w:rsidRPr="0097242C">
        <w:rPr>
          <w:lang w:eastAsia="uk-UA"/>
        </w:rPr>
        <w:t xml:space="preserve">молоді та спорту </w:t>
      </w:r>
      <w:r w:rsidR="00C50696">
        <w:rPr>
          <w:lang w:eastAsia="uk-UA"/>
        </w:rPr>
        <w:t>Шпанівської сільської</w:t>
      </w:r>
      <w:r>
        <w:rPr>
          <w:lang w:eastAsia="uk-UA"/>
        </w:rPr>
        <w:t xml:space="preserve"> ради, який щороку звітує про хід виконання Програми на засіданні сесії </w:t>
      </w:r>
      <w:r w:rsidR="00C50696">
        <w:rPr>
          <w:lang w:eastAsia="uk-UA"/>
        </w:rPr>
        <w:t>Шпанівської сільської</w:t>
      </w:r>
      <w:r w:rsidRPr="003C50F7">
        <w:rPr>
          <w:lang w:eastAsia="uk-UA"/>
        </w:rPr>
        <w:t xml:space="preserve"> ради. Звіт про виконання Програми публікується на сайті </w:t>
      </w:r>
      <w:r w:rsidR="00C50696">
        <w:rPr>
          <w:lang w:eastAsia="uk-UA"/>
        </w:rPr>
        <w:t>сільської ради.</w:t>
      </w:r>
    </w:p>
    <w:p w:rsidR="00A52168" w:rsidRDefault="00A52168" w:rsidP="00A52168">
      <w:pPr>
        <w:ind w:firstLine="720"/>
        <w:jc w:val="both"/>
        <w:rPr>
          <w:lang w:eastAsia="uk-UA"/>
        </w:rPr>
      </w:pPr>
      <w:r>
        <w:rPr>
          <w:lang w:eastAsia="uk-UA"/>
        </w:rPr>
        <w:t xml:space="preserve">5.2. </w:t>
      </w:r>
      <w:r w:rsidRPr="0097242C">
        <w:rPr>
          <w:lang w:eastAsia="uk-UA"/>
        </w:rPr>
        <w:t>Контроль за її виконанням здійснює</w:t>
      </w:r>
      <w:r>
        <w:rPr>
          <w:lang w:eastAsia="uk-UA"/>
        </w:rPr>
        <w:t xml:space="preserve"> профільний засту</w:t>
      </w:r>
      <w:r w:rsidR="00C50696">
        <w:rPr>
          <w:lang w:eastAsia="uk-UA"/>
        </w:rPr>
        <w:t>пник голови Шпанівської сільської</w:t>
      </w:r>
      <w:r>
        <w:rPr>
          <w:lang w:eastAsia="uk-UA"/>
        </w:rPr>
        <w:t xml:space="preserve"> ради.</w:t>
      </w:r>
    </w:p>
    <w:p w:rsidR="00A52168" w:rsidRDefault="00A52168" w:rsidP="00A52168">
      <w:pPr>
        <w:ind w:firstLine="720"/>
        <w:jc w:val="both"/>
        <w:rPr>
          <w:lang w:eastAsia="uk-UA"/>
        </w:rPr>
      </w:pPr>
    </w:p>
    <w:p w:rsidR="00A52168" w:rsidRDefault="00A52168" w:rsidP="00A52168">
      <w:pPr>
        <w:ind w:firstLine="720"/>
        <w:jc w:val="both"/>
        <w:rPr>
          <w:lang w:eastAsia="uk-UA"/>
        </w:rPr>
      </w:pPr>
      <w:r w:rsidRPr="0097242C">
        <w:rPr>
          <w:lang w:eastAsia="uk-UA"/>
        </w:rPr>
        <w:t> </w:t>
      </w:r>
    </w:p>
    <w:p w:rsidR="00A52168" w:rsidRPr="0097242C" w:rsidRDefault="00A52168" w:rsidP="00A52168">
      <w:pPr>
        <w:jc w:val="both"/>
        <w:rPr>
          <w:lang w:eastAsia="uk-UA"/>
        </w:rPr>
      </w:pPr>
    </w:p>
    <w:p w:rsidR="00A52168" w:rsidRDefault="007D6461" w:rsidP="00C50696">
      <w:pPr>
        <w:jc w:val="both"/>
        <w:rPr>
          <w:lang w:eastAsia="uk-UA"/>
        </w:rPr>
        <w:sectPr w:rsidR="00A52168" w:rsidSect="009A25FE">
          <w:pgSz w:w="11906" w:h="16838"/>
          <w:pgMar w:top="1134" w:right="851" w:bottom="1134" w:left="1134" w:header="720" w:footer="720" w:gutter="0"/>
          <w:cols w:space="720"/>
          <w:docGrid w:linePitch="204"/>
        </w:sectPr>
      </w:pPr>
      <w:r>
        <w:rPr>
          <w:lang w:eastAsia="uk-UA"/>
        </w:rPr>
        <w:t>Секретар ради                                                                                                                  Марія ДОГОЙДА</w:t>
      </w:r>
    </w:p>
    <w:p w:rsidR="00A52168" w:rsidRDefault="00A52168" w:rsidP="00A52168">
      <w:pPr>
        <w:pStyle w:val="a3"/>
        <w:spacing w:before="89"/>
        <w:ind w:left="4242"/>
        <w:rPr>
          <w:sz w:val="24"/>
          <w:szCs w:val="24"/>
          <w:lang w:eastAsia="uk-UA"/>
        </w:rPr>
      </w:pPr>
    </w:p>
    <w:p w:rsidR="00A52168" w:rsidRPr="003C50F7" w:rsidRDefault="00A52168" w:rsidP="00A52168">
      <w:pPr>
        <w:pStyle w:val="a3"/>
        <w:jc w:val="center"/>
        <w:rPr>
          <w:b/>
        </w:rPr>
      </w:pPr>
      <w:r w:rsidRPr="003C50F7">
        <w:rPr>
          <w:b/>
        </w:rPr>
        <w:t>Обсяги та джерела фінансування</w:t>
      </w:r>
    </w:p>
    <w:p w:rsidR="00A52168" w:rsidRDefault="00A52168" w:rsidP="00A52168">
      <w:pPr>
        <w:pStyle w:val="a3"/>
        <w:jc w:val="center"/>
        <w:rPr>
          <w:b/>
          <w:sz w:val="24"/>
        </w:rPr>
      </w:pPr>
      <w:r w:rsidRPr="003C50F7">
        <w:rPr>
          <w:b/>
          <w:sz w:val="24"/>
        </w:rPr>
        <w:t>програми фінансової підтримки громадських організацій фізку</w:t>
      </w:r>
      <w:r w:rsidR="00C50696">
        <w:rPr>
          <w:b/>
          <w:sz w:val="24"/>
        </w:rPr>
        <w:t xml:space="preserve">льтурно-спортивного спрямування, </w:t>
      </w:r>
      <w:r w:rsidRPr="003C50F7">
        <w:rPr>
          <w:b/>
          <w:sz w:val="24"/>
        </w:rPr>
        <w:t xml:space="preserve">спортивних клубів </w:t>
      </w:r>
      <w:r w:rsidR="00C50696">
        <w:rPr>
          <w:b/>
          <w:sz w:val="24"/>
        </w:rPr>
        <w:t>та футбольних команд Шпанівської сільської</w:t>
      </w:r>
      <w:r w:rsidRPr="003C50F7">
        <w:rPr>
          <w:b/>
          <w:sz w:val="24"/>
        </w:rPr>
        <w:t xml:space="preserve"> ради</w:t>
      </w:r>
      <w:r>
        <w:rPr>
          <w:b/>
          <w:sz w:val="24"/>
        </w:rPr>
        <w:t xml:space="preserve"> </w:t>
      </w:r>
      <w:r w:rsidR="001F6459">
        <w:rPr>
          <w:b/>
          <w:sz w:val="24"/>
        </w:rPr>
        <w:t>на 2021-2023</w:t>
      </w:r>
      <w:r w:rsidRPr="003C50F7">
        <w:rPr>
          <w:b/>
          <w:sz w:val="24"/>
        </w:rPr>
        <w:t xml:space="preserve"> роки</w:t>
      </w:r>
    </w:p>
    <w:p w:rsidR="00A52168" w:rsidRPr="003C50F7" w:rsidRDefault="00A52168" w:rsidP="00A52168">
      <w:pPr>
        <w:pStyle w:val="a3"/>
        <w:spacing w:line="317" w:lineRule="exact"/>
        <w:ind w:left="663" w:right="576"/>
        <w:jc w:val="center"/>
        <w:rPr>
          <w:b/>
          <w:sz w:val="24"/>
        </w:rPr>
      </w:pPr>
    </w:p>
    <w:p w:rsidR="00A52168" w:rsidRDefault="00A52168" w:rsidP="00A52168">
      <w:pPr>
        <w:jc w:val="both"/>
        <w:rPr>
          <w:b/>
          <w:bCs/>
          <w:szCs w:val="28"/>
        </w:rPr>
      </w:pPr>
    </w:p>
    <w:tbl>
      <w:tblPr>
        <w:tblW w:w="10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6"/>
        <w:gridCol w:w="2228"/>
        <w:gridCol w:w="1810"/>
        <w:gridCol w:w="1009"/>
        <w:gridCol w:w="837"/>
        <w:gridCol w:w="1343"/>
        <w:gridCol w:w="1268"/>
      </w:tblGrid>
      <w:tr w:rsidR="00A52168" w:rsidRPr="005F4BCC" w:rsidTr="001F6459">
        <w:trPr>
          <w:trHeight w:val="212"/>
        </w:trPr>
        <w:tc>
          <w:tcPr>
            <w:tcW w:w="1676" w:type="dxa"/>
            <w:vMerge w:val="restart"/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Найменування завдання</w:t>
            </w:r>
          </w:p>
        </w:tc>
        <w:tc>
          <w:tcPr>
            <w:tcW w:w="2228" w:type="dxa"/>
            <w:vMerge w:val="restart"/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Найменування заходу</w:t>
            </w:r>
          </w:p>
        </w:tc>
        <w:tc>
          <w:tcPr>
            <w:tcW w:w="1810" w:type="dxa"/>
            <w:vMerge w:val="restart"/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Виконавець</w:t>
            </w:r>
          </w:p>
        </w:tc>
        <w:tc>
          <w:tcPr>
            <w:tcW w:w="4457" w:type="dxa"/>
            <w:gridSpan w:val="4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Орієнтовний</w:t>
            </w:r>
            <w:r w:rsidR="00023288">
              <w:rPr>
                <w:b/>
                <w:sz w:val="18"/>
                <w:szCs w:val="18"/>
              </w:rPr>
              <w:t xml:space="preserve"> обсяг фінансування на 2021-2023</w:t>
            </w:r>
            <w:bookmarkStart w:id="0" w:name="_GoBack"/>
            <w:bookmarkEnd w:id="0"/>
            <w:r w:rsidRPr="005F4BCC">
              <w:rPr>
                <w:b/>
                <w:sz w:val="18"/>
                <w:szCs w:val="18"/>
              </w:rPr>
              <w:t xml:space="preserve"> роки, тис. грн.</w:t>
            </w:r>
            <w:r>
              <w:rPr>
                <w:b/>
                <w:sz w:val="18"/>
                <w:szCs w:val="18"/>
              </w:rPr>
              <w:t>*</w:t>
            </w:r>
          </w:p>
        </w:tc>
      </w:tr>
      <w:tr w:rsidR="00A52168" w:rsidRPr="005F4BCC" w:rsidTr="001F6459">
        <w:trPr>
          <w:trHeight w:val="312"/>
        </w:trPr>
        <w:tc>
          <w:tcPr>
            <w:tcW w:w="1676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Роки</w:t>
            </w:r>
          </w:p>
        </w:tc>
        <w:tc>
          <w:tcPr>
            <w:tcW w:w="837" w:type="dxa"/>
            <w:vMerge w:val="restart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Усього</w:t>
            </w:r>
          </w:p>
        </w:tc>
        <w:tc>
          <w:tcPr>
            <w:tcW w:w="2610" w:type="dxa"/>
            <w:gridSpan w:val="2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5F4BCC">
              <w:rPr>
                <w:b/>
                <w:sz w:val="18"/>
                <w:szCs w:val="18"/>
              </w:rPr>
              <w:t>т.ч</w:t>
            </w:r>
            <w:proofErr w:type="spellEnd"/>
            <w:r w:rsidRPr="005F4BCC">
              <w:rPr>
                <w:b/>
                <w:sz w:val="18"/>
                <w:szCs w:val="18"/>
              </w:rPr>
              <w:t>. за джерелами фінансування</w:t>
            </w:r>
          </w:p>
        </w:tc>
      </w:tr>
      <w:tr w:rsidR="00A52168" w:rsidRPr="005F4BCC" w:rsidTr="001F6459">
        <w:trPr>
          <w:trHeight w:val="312"/>
        </w:trPr>
        <w:tc>
          <w:tcPr>
            <w:tcW w:w="1676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28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0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ind w:left="147" w:right="1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top w:val="nil"/>
            </w:tcBorders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Місцевий бюджет</w:t>
            </w:r>
          </w:p>
        </w:tc>
        <w:tc>
          <w:tcPr>
            <w:tcW w:w="1267" w:type="dxa"/>
            <w:vAlign w:val="center"/>
          </w:tcPr>
          <w:p w:rsidR="00A52168" w:rsidRPr="005F4BCC" w:rsidRDefault="00A52168" w:rsidP="008816FE">
            <w:pPr>
              <w:jc w:val="center"/>
              <w:rPr>
                <w:b/>
                <w:sz w:val="18"/>
                <w:szCs w:val="18"/>
              </w:rPr>
            </w:pPr>
            <w:r w:rsidRPr="005F4BCC">
              <w:rPr>
                <w:b/>
                <w:sz w:val="18"/>
                <w:szCs w:val="18"/>
              </w:rPr>
              <w:t>Інші джерела</w:t>
            </w:r>
          </w:p>
        </w:tc>
      </w:tr>
      <w:tr w:rsidR="00C50696" w:rsidRPr="005F4BCC" w:rsidTr="001F6459">
        <w:trPr>
          <w:trHeight w:val="3033"/>
        </w:trPr>
        <w:tc>
          <w:tcPr>
            <w:tcW w:w="1676" w:type="dxa"/>
          </w:tcPr>
          <w:p w:rsidR="00C50696" w:rsidRPr="005F4BCC" w:rsidRDefault="00C50696" w:rsidP="00E7420A">
            <w:pPr>
              <w:ind w:left="147" w:right="140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 xml:space="preserve">І. Сприяти діяльності </w:t>
            </w:r>
            <w:r w:rsidR="00E7420A">
              <w:rPr>
                <w:sz w:val="18"/>
                <w:szCs w:val="18"/>
              </w:rPr>
              <w:t>футбольних команд,</w:t>
            </w:r>
            <w:r w:rsidR="00E7420A" w:rsidRPr="005F4BCC">
              <w:rPr>
                <w:sz w:val="18"/>
                <w:szCs w:val="18"/>
              </w:rPr>
              <w:t xml:space="preserve"> </w:t>
            </w:r>
            <w:r w:rsidRPr="005F4BCC">
              <w:rPr>
                <w:sz w:val="18"/>
                <w:szCs w:val="18"/>
              </w:rPr>
              <w:t>громадських організацій фізкультурно-</w:t>
            </w:r>
            <w:r>
              <w:rPr>
                <w:sz w:val="18"/>
                <w:szCs w:val="18"/>
              </w:rPr>
              <w:t xml:space="preserve"> спортивної спрямованості, </w:t>
            </w:r>
          </w:p>
        </w:tc>
        <w:tc>
          <w:tcPr>
            <w:tcW w:w="2228" w:type="dxa"/>
          </w:tcPr>
          <w:p w:rsidR="00C50696" w:rsidRPr="005F4BCC" w:rsidRDefault="00C50696" w:rsidP="008816FE">
            <w:pPr>
              <w:ind w:left="147" w:right="140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 xml:space="preserve">1. Розвиток пріоритетних олімпійських та неолімпійських видів спорту шляхом залучення для цієї мети </w:t>
            </w:r>
            <w:r w:rsidR="00E7420A">
              <w:rPr>
                <w:sz w:val="18"/>
                <w:szCs w:val="18"/>
              </w:rPr>
              <w:t>футбольних команд,</w:t>
            </w:r>
            <w:r w:rsidR="00E7420A" w:rsidRPr="005F4BCC">
              <w:rPr>
                <w:sz w:val="18"/>
                <w:szCs w:val="18"/>
              </w:rPr>
              <w:t xml:space="preserve"> </w:t>
            </w:r>
            <w:r w:rsidRPr="005F4BCC">
              <w:rPr>
                <w:sz w:val="18"/>
                <w:szCs w:val="18"/>
              </w:rPr>
              <w:t>громадських організацій фізкультурно- спортивного спрямування</w:t>
            </w:r>
            <w:r>
              <w:rPr>
                <w:sz w:val="18"/>
                <w:szCs w:val="18"/>
              </w:rPr>
              <w:t xml:space="preserve"> </w:t>
            </w:r>
            <w:r w:rsidRPr="005F4BCC">
              <w:rPr>
                <w:sz w:val="18"/>
                <w:szCs w:val="18"/>
              </w:rPr>
              <w:t>та надання зазначеним організаціям фінансової підтримки за рахунок</w:t>
            </w:r>
          </w:p>
          <w:p w:rsidR="00C50696" w:rsidRPr="005F4BCC" w:rsidRDefault="00C50696" w:rsidP="008816FE">
            <w:pPr>
              <w:ind w:left="147" w:right="140"/>
              <w:rPr>
                <w:sz w:val="18"/>
                <w:szCs w:val="18"/>
              </w:rPr>
            </w:pPr>
            <w:r w:rsidRPr="005F4BCC">
              <w:rPr>
                <w:sz w:val="18"/>
                <w:szCs w:val="18"/>
              </w:rPr>
              <w:t>коштів міського бюджетів</w:t>
            </w:r>
          </w:p>
        </w:tc>
        <w:tc>
          <w:tcPr>
            <w:tcW w:w="1810" w:type="dxa"/>
          </w:tcPr>
          <w:p w:rsidR="00C50696" w:rsidRPr="005F4BCC" w:rsidRDefault="00C50696" w:rsidP="00C50696">
            <w:pPr>
              <w:ind w:left="147" w:right="1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Відділ освіти, культури, молоді та спорту Шпанівської сільської ради</w:t>
            </w:r>
          </w:p>
        </w:tc>
        <w:tc>
          <w:tcPr>
            <w:tcW w:w="1009" w:type="dxa"/>
            <w:vAlign w:val="center"/>
          </w:tcPr>
          <w:p w:rsidR="00C50696" w:rsidRDefault="001F6459" w:rsidP="00881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  <w:p w:rsidR="001F6459" w:rsidRDefault="001F6459" w:rsidP="008816FE">
            <w:pPr>
              <w:jc w:val="center"/>
              <w:rPr>
                <w:sz w:val="18"/>
                <w:szCs w:val="18"/>
              </w:rPr>
            </w:pPr>
          </w:p>
          <w:p w:rsidR="001F6459" w:rsidRDefault="001F6459" w:rsidP="00881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  <w:p w:rsidR="001F6459" w:rsidRDefault="001F6459" w:rsidP="008816FE">
            <w:pPr>
              <w:jc w:val="center"/>
              <w:rPr>
                <w:sz w:val="18"/>
                <w:szCs w:val="18"/>
              </w:rPr>
            </w:pPr>
          </w:p>
          <w:p w:rsidR="001F6459" w:rsidRPr="005F4BCC" w:rsidRDefault="001F6459" w:rsidP="008816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37" w:type="dxa"/>
            <w:tcBorders>
              <w:right w:val="single" w:sz="4" w:space="0" w:color="auto"/>
            </w:tcBorders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  <w:vAlign w:val="center"/>
          </w:tcPr>
          <w:p w:rsidR="00C50696" w:rsidRPr="005F4BCC" w:rsidRDefault="00C50696" w:rsidP="008816FE">
            <w:pPr>
              <w:jc w:val="center"/>
              <w:rPr>
                <w:sz w:val="18"/>
                <w:szCs w:val="18"/>
              </w:rPr>
            </w:pPr>
          </w:p>
        </w:tc>
      </w:tr>
    </w:tbl>
    <w:p w:rsidR="00A52168" w:rsidRDefault="00A52168" w:rsidP="00A52168">
      <w:pPr>
        <w:jc w:val="both"/>
        <w:rPr>
          <w:sz w:val="18"/>
          <w:szCs w:val="18"/>
        </w:rPr>
      </w:pPr>
    </w:p>
    <w:p w:rsidR="00A52168" w:rsidRPr="00640CB7" w:rsidRDefault="00A52168" w:rsidP="00A52168">
      <w:pPr>
        <w:jc w:val="both"/>
        <w:rPr>
          <w:b/>
          <w:bCs/>
          <w:sz w:val="22"/>
          <w:szCs w:val="28"/>
        </w:rPr>
      </w:pPr>
      <w:r w:rsidRPr="00640CB7">
        <w:rPr>
          <w:sz w:val="16"/>
          <w:szCs w:val="18"/>
        </w:rPr>
        <w:t xml:space="preserve">* </w:t>
      </w:r>
      <w:r>
        <w:rPr>
          <w:sz w:val="16"/>
          <w:szCs w:val="18"/>
        </w:rPr>
        <w:t>в</w:t>
      </w:r>
      <w:r w:rsidRPr="00640CB7">
        <w:rPr>
          <w:sz w:val="16"/>
          <w:szCs w:val="18"/>
        </w:rPr>
        <w:t xml:space="preserve"> межах кошторисних призначень</w:t>
      </w:r>
    </w:p>
    <w:p w:rsidR="00A52168" w:rsidRDefault="00A52168" w:rsidP="00A52168">
      <w:pPr>
        <w:jc w:val="both"/>
        <w:rPr>
          <w:b/>
          <w:bCs/>
          <w:szCs w:val="28"/>
        </w:rPr>
      </w:pPr>
    </w:p>
    <w:p w:rsidR="00A52168" w:rsidRDefault="00A52168" w:rsidP="00A52168">
      <w:pPr>
        <w:jc w:val="both"/>
        <w:rPr>
          <w:bCs/>
          <w:szCs w:val="28"/>
        </w:rPr>
      </w:pPr>
    </w:p>
    <w:p w:rsidR="00A52168" w:rsidRDefault="00A52168" w:rsidP="00A52168">
      <w:pPr>
        <w:jc w:val="both"/>
        <w:rPr>
          <w:bCs/>
          <w:szCs w:val="28"/>
        </w:rPr>
      </w:pPr>
    </w:p>
    <w:p w:rsidR="00A52168" w:rsidRDefault="00A52168" w:rsidP="00A52168">
      <w:pPr>
        <w:jc w:val="both"/>
        <w:rPr>
          <w:bCs/>
          <w:szCs w:val="28"/>
        </w:rPr>
      </w:pPr>
      <w:r w:rsidRPr="00640CB7">
        <w:rPr>
          <w:bCs/>
          <w:szCs w:val="28"/>
        </w:rPr>
        <w:t xml:space="preserve">Начальник </w:t>
      </w:r>
    </w:p>
    <w:p w:rsidR="00A52168" w:rsidRPr="00640CB7" w:rsidRDefault="00A52168" w:rsidP="00A52168">
      <w:pPr>
        <w:jc w:val="both"/>
        <w:rPr>
          <w:bCs/>
          <w:szCs w:val="28"/>
        </w:rPr>
      </w:pPr>
      <w:r w:rsidRPr="00640CB7">
        <w:rPr>
          <w:bCs/>
          <w:szCs w:val="28"/>
        </w:rPr>
        <w:t>відділу фінансів, економіки та інвестицій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640CB7">
        <w:rPr>
          <w:bCs/>
          <w:szCs w:val="28"/>
        </w:rPr>
        <w:t xml:space="preserve"> </w:t>
      </w:r>
    </w:p>
    <w:sectPr w:rsidR="00A52168" w:rsidRPr="00640C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31F2"/>
    <w:multiLevelType w:val="hybridMultilevel"/>
    <w:tmpl w:val="843C9120"/>
    <w:lvl w:ilvl="0" w:tplc="C290C0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8082C"/>
    <w:multiLevelType w:val="hybridMultilevel"/>
    <w:tmpl w:val="DDC8DFAE"/>
    <w:lvl w:ilvl="0" w:tplc="C290C0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9B4C2C"/>
    <w:multiLevelType w:val="hybridMultilevel"/>
    <w:tmpl w:val="D206AEC8"/>
    <w:lvl w:ilvl="0" w:tplc="28F0E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F504DA"/>
    <w:multiLevelType w:val="multilevel"/>
    <w:tmpl w:val="0F9ADB8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EE1636C"/>
    <w:multiLevelType w:val="hybridMultilevel"/>
    <w:tmpl w:val="C944C480"/>
    <w:lvl w:ilvl="0" w:tplc="C290C01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90"/>
    <w:rsid w:val="00023288"/>
    <w:rsid w:val="00125238"/>
    <w:rsid w:val="00145275"/>
    <w:rsid w:val="00152108"/>
    <w:rsid w:val="001F6459"/>
    <w:rsid w:val="002C599D"/>
    <w:rsid w:val="005636FD"/>
    <w:rsid w:val="006E3038"/>
    <w:rsid w:val="006F1DFA"/>
    <w:rsid w:val="007A6C90"/>
    <w:rsid w:val="007D6461"/>
    <w:rsid w:val="00841C53"/>
    <w:rsid w:val="0093402B"/>
    <w:rsid w:val="009E3747"/>
    <w:rsid w:val="00A04252"/>
    <w:rsid w:val="00A52168"/>
    <w:rsid w:val="00C40032"/>
    <w:rsid w:val="00C50696"/>
    <w:rsid w:val="00D62BAB"/>
    <w:rsid w:val="00DA3574"/>
    <w:rsid w:val="00E7420A"/>
    <w:rsid w:val="00EC607B"/>
    <w:rsid w:val="00EF18A1"/>
    <w:rsid w:val="00F83744"/>
    <w:rsid w:val="00FB747E"/>
    <w:rsid w:val="00FD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3ABE"/>
  <w15:docId w15:val="{293C4692-2765-4258-A029-CF9CE4B0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C90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A6C90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styleId="a5">
    <w:name w:val="Hyperlink"/>
    <w:uiPriority w:val="99"/>
    <w:unhideWhenUsed/>
    <w:rsid w:val="00A52168"/>
    <w:rPr>
      <w:color w:val="0000FF"/>
      <w:u w:val="single"/>
    </w:rPr>
  </w:style>
  <w:style w:type="character" w:customStyle="1" w:styleId="rvts0">
    <w:name w:val="rvts0"/>
    <w:rsid w:val="00A5216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E37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747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E200-986B-4E01-B56A-53B65B496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5524</Words>
  <Characters>3149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Пользователь Windows</cp:lastModifiedBy>
  <cp:revision>13</cp:revision>
  <cp:lastPrinted>2020-02-25T11:00:00Z</cp:lastPrinted>
  <dcterms:created xsi:type="dcterms:W3CDTF">2019-12-05T06:55:00Z</dcterms:created>
  <dcterms:modified xsi:type="dcterms:W3CDTF">2020-12-21T15:53:00Z</dcterms:modified>
</cp:coreProperties>
</file>