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F36A8A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C34EC9" w:rsidRDefault="00C34EC9" w:rsidP="0042295C">
      <w:pPr>
        <w:jc w:val="center"/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</w:pPr>
      <w:r w:rsidRPr="00C34EC9"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  <w:t xml:space="preserve">                                                                           ПРОЄКТ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3D4F3F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07 грудня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A97A24">
        <w:rPr>
          <w:rFonts w:ascii="Times New Roman" w:hAnsi="Times New Roman"/>
          <w:sz w:val="26"/>
          <w:szCs w:val="26"/>
          <w:lang w:val="uk-UA"/>
        </w:rPr>
        <w:t>______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9766C4">
        <w:rPr>
          <w:sz w:val="26"/>
          <w:szCs w:val="26"/>
          <w:lang w:val="uk-UA"/>
        </w:rPr>
        <w:t xml:space="preserve">       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>,</w:t>
      </w:r>
      <w:r w:rsidR="00E406E7">
        <w:rPr>
          <w:sz w:val="26"/>
          <w:szCs w:val="26"/>
          <w:lang w:val="uk-UA"/>
        </w:rPr>
        <w:t xml:space="preserve">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C34EC9">
        <w:rPr>
          <w:sz w:val="26"/>
          <w:szCs w:val="26"/>
          <w:lang w:val="uk-UA"/>
        </w:rPr>
        <w:t>,</w:t>
      </w:r>
      <w:r w:rsidR="00BE67F8">
        <w:rPr>
          <w:sz w:val="26"/>
          <w:szCs w:val="26"/>
          <w:lang w:val="uk-UA"/>
        </w:rPr>
        <w:t xml:space="preserve"> </w:t>
      </w:r>
      <w:r w:rsidR="00BE67F8" w:rsidRPr="00ED6884">
        <w:rPr>
          <w:sz w:val="26"/>
          <w:szCs w:val="26"/>
          <w:lang w:val="uk-UA"/>
        </w:rPr>
        <w:t xml:space="preserve">рішення сільської ради від </w:t>
      </w:r>
      <w:r w:rsidR="00BE67F8">
        <w:rPr>
          <w:sz w:val="26"/>
          <w:szCs w:val="26"/>
          <w:lang w:val="uk-UA"/>
        </w:rPr>
        <w:t>09 вересня</w:t>
      </w:r>
      <w:r w:rsidR="00BE67F8" w:rsidRPr="00ED6884">
        <w:rPr>
          <w:sz w:val="26"/>
          <w:szCs w:val="26"/>
          <w:lang w:val="uk-UA"/>
        </w:rPr>
        <w:t xml:space="preserve"> 2021 року № </w:t>
      </w:r>
      <w:r w:rsidR="00BE67F8">
        <w:rPr>
          <w:sz w:val="26"/>
          <w:szCs w:val="26"/>
          <w:lang w:val="uk-UA"/>
        </w:rPr>
        <w:t>417</w:t>
      </w:r>
      <w:r w:rsidR="00BE67F8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C34EC9">
        <w:rPr>
          <w:sz w:val="26"/>
          <w:szCs w:val="26"/>
          <w:lang w:val="uk-UA"/>
        </w:rPr>
        <w:t xml:space="preserve"> та </w:t>
      </w:r>
      <w:r w:rsidR="00C34EC9" w:rsidRPr="00ED6884">
        <w:rPr>
          <w:sz w:val="26"/>
          <w:szCs w:val="26"/>
          <w:lang w:val="uk-UA"/>
        </w:rPr>
        <w:t xml:space="preserve">рішення сільської ради від </w:t>
      </w:r>
      <w:r w:rsidR="00C34EC9">
        <w:rPr>
          <w:sz w:val="26"/>
          <w:szCs w:val="26"/>
          <w:lang w:val="uk-UA"/>
        </w:rPr>
        <w:t>29 жовтня</w:t>
      </w:r>
      <w:r w:rsidR="00C34EC9" w:rsidRPr="00ED6884">
        <w:rPr>
          <w:sz w:val="26"/>
          <w:szCs w:val="26"/>
          <w:lang w:val="uk-UA"/>
        </w:rPr>
        <w:t xml:space="preserve"> 2021 року № </w:t>
      </w:r>
      <w:r w:rsidR="00C34EC9">
        <w:rPr>
          <w:sz w:val="26"/>
          <w:szCs w:val="26"/>
          <w:lang w:val="uk-UA"/>
        </w:rPr>
        <w:t>596</w:t>
      </w:r>
      <w:r w:rsidR="00C34EC9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C34EC9">
        <w:rPr>
          <w:sz w:val="26"/>
          <w:szCs w:val="26"/>
          <w:lang w:val="uk-UA"/>
        </w:rPr>
        <w:t xml:space="preserve"> 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A97A24">
        <w:rPr>
          <w:sz w:val="26"/>
          <w:szCs w:val="26"/>
          <w:lang w:val="uk-UA"/>
        </w:rPr>
        <w:t>605 529,00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на суму </w:t>
      </w:r>
      <w:r w:rsidR="008E76C5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 xml:space="preserve">          </w:t>
      </w:r>
      <w:r w:rsidR="00A97A24">
        <w:rPr>
          <w:sz w:val="26"/>
          <w:szCs w:val="26"/>
          <w:lang w:val="uk-UA"/>
        </w:rPr>
        <w:t>105 529,00</w:t>
      </w:r>
      <w:r>
        <w:rPr>
          <w:sz w:val="26"/>
          <w:szCs w:val="26"/>
          <w:lang w:val="uk-UA"/>
        </w:rPr>
        <w:t xml:space="preserve"> гривень та збільшити доходи спеціального фонду на суму </w:t>
      </w:r>
      <w:r w:rsidR="00BE67F8">
        <w:rPr>
          <w:sz w:val="26"/>
          <w:szCs w:val="26"/>
          <w:lang w:val="uk-UA"/>
        </w:rPr>
        <w:t xml:space="preserve">               5</w:t>
      </w:r>
      <w:r w:rsidR="00A97A24">
        <w:rPr>
          <w:sz w:val="26"/>
          <w:szCs w:val="26"/>
          <w:lang w:val="uk-UA"/>
        </w:rPr>
        <w:t>0</w:t>
      </w:r>
      <w:r w:rsidR="00BE67F8">
        <w:rPr>
          <w:sz w:val="26"/>
          <w:szCs w:val="26"/>
          <w:lang w:val="uk-UA"/>
        </w:rPr>
        <w:t>0 000,00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 w:rsidR="00A97A24">
        <w:rPr>
          <w:sz w:val="26"/>
          <w:szCs w:val="26"/>
          <w:lang w:val="uk-UA"/>
        </w:rPr>
        <w:t>605 529,00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</w:t>
      </w:r>
      <w:r w:rsidR="00A97A24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на суму</w:t>
      </w:r>
      <w:r>
        <w:rPr>
          <w:sz w:val="26"/>
          <w:szCs w:val="26"/>
          <w:lang w:val="uk-UA"/>
        </w:rPr>
        <w:t xml:space="preserve"> </w:t>
      </w:r>
      <w:r w:rsidR="008E76C5">
        <w:rPr>
          <w:sz w:val="26"/>
          <w:szCs w:val="26"/>
          <w:lang w:val="uk-UA"/>
        </w:rPr>
        <w:t xml:space="preserve">   </w:t>
      </w:r>
      <w:r w:rsidR="00BE67F8">
        <w:rPr>
          <w:sz w:val="26"/>
          <w:szCs w:val="26"/>
          <w:lang w:val="uk-UA"/>
        </w:rPr>
        <w:t xml:space="preserve">     </w:t>
      </w:r>
      <w:r w:rsidR="008E76C5">
        <w:rPr>
          <w:sz w:val="26"/>
          <w:szCs w:val="26"/>
          <w:lang w:val="uk-UA"/>
        </w:rPr>
        <w:t xml:space="preserve">    </w:t>
      </w:r>
      <w:r w:rsidR="00A97A24">
        <w:rPr>
          <w:sz w:val="26"/>
          <w:szCs w:val="26"/>
          <w:lang w:val="uk-UA"/>
        </w:rPr>
        <w:t>95 319,00</w:t>
      </w:r>
      <w:r w:rsidRPr="00ED6884">
        <w:rPr>
          <w:sz w:val="26"/>
          <w:szCs w:val="26"/>
          <w:lang w:val="uk-UA"/>
        </w:rPr>
        <w:t xml:space="preserve"> гривень та збільшити видатки спеціального фонду сільського бюджету на суму </w:t>
      </w:r>
      <w:r w:rsidR="00A97A24">
        <w:rPr>
          <w:sz w:val="26"/>
          <w:szCs w:val="26"/>
          <w:lang w:val="uk-UA"/>
        </w:rPr>
        <w:t>510 210,00</w:t>
      </w:r>
      <w:r w:rsidRPr="00ED6884">
        <w:rPr>
          <w:sz w:val="26"/>
          <w:szCs w:val="26"/>
          <w:lang w:val="uk-UA"/>
        </w:rPr>
        <w:t xml:space="preserve">  гривень, згідно з додатком </w:t>
      </w:r>
      <w:r w:rsidR="004F4FF3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</w:t>
      </w:r>
      <w:r w:rsidR="0078712E">
        <w:rPr>
          <w:sz w:val="26"/>
          <w:szCs w:val="26"/>
          <w:lang w:val="uk-UA"/>
        </w:rPr>
        <w:t>профіцит</w:t>
      </w:r>
      <w:r w:rsidRPr="00ED6884">
        <w:rPr>
          <w:sz w:val="26"/>
          <w:szCs w:val="26"/>
          <w:lang w:val="uk-UA"/>
        </w:rPr>
        <w:t xml:space="preserve"> загального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 xml:space="preserve">    </w:t>
      </w:r>
      <w:r w:rsidR="008E76C5">
        <w:rPr>
          <w:sz w:val="26"/>
          <w:szCs w:val="26"/>
          <w:lang w:val="uk-UA"/>
        </w:rPr>
        <w:t xml:space="preserve">  </w:t>
      </w:r>
      <w:r w:rsidR="00A97A24">
        <w:rPr>
          <w:sz w:val="26"/>
          <w:szCs w:val="26"/>
          <w:lang w:val="uk-UA"/>
        </w:rPr>
        <w:t>10 210,00</w:t>
      </w:r>
      <w:r w:rsidRPr="00ED6884">
        <w:rPr>
          <w:sz w:val="26"/>
          <w:szCs w:val="26"/>
          <w:lang w:val="uk-UA"/>
        </w:rPr>
        <w:t xml:space="preserve"> гривень, в тому числі за рахунок </w:t>
      </w:r>
      <w:r w:rsidR="00D55FA2">
        <w:rPr>
          <w:sz w:val="26"/>
          <w:szCs w:val="26"/>
          <w:lang w:val="uk-UA"/>
        </w:rPr>
        <w:t xml:space="preserve">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</w:t>
      </w:r>
      <w:r w:rsidRPr="00ED6884">
        <w:rPr>
          <w:sz w:val="26"/>
          <w:szCs w:val="26"/>
          <w:lang w:val="uk-UA"/>
        </w:rPr>
        <w:lastRenderedPageBreak/>
        <w:t xml:space="preserve">загального фонду сільського бюджету до бюджет розвитку (спеціального фонду) у сумі </w:t>
      </w:r>
      <w:r w:rsidR="00A97A24">
        <w:rPr>
          <w:sz w:val="26"/>
          <w:szCs w:val="26"/>
          <w:lang w:val="uk-UA"/>
        </w:rPr>
        <w:t>10 210,00</w:t>
      </w:r>
      <w:r w:rsidRPr="00ED6884">
        <w:rPr>
          <w:sz w:val="26"/>
          <w:szCs w:val="26"/>
          <w:lang w:val="uk-UA"/>
        </w:rPr>
        <w:t xml:space="preserve"> гривень згідно з додатком </w:t>
      </w:r>
      <w:r w:rsidR="004F4FF3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</w:t>
      </w:r>
      <w:r w:rsidR="00BE67F8">
        <w:rPr>
          <w:sz w:val="26"/>
          <w:szCs w:val="26"/>
          <w:lang w:val="uk-UA"/>
        </w:rPr>
        <w:t xml:space="preserve">   </w:t>
      </w:r>
      <w:r w:rsidR="000C6A45">
        <w:rPr>
          <w:sz w:val="26"/>
          <w:szCs w:val="26"/>
          <w:lang w:val="uk-UA"/>
        </w:rPr>
        <w:t xml:space="preserve">        </w:t>
      </w:r>
      <w:r w:rsidR="008E76C5">
        <w:rPr>
          <w:sz w:val="26"/>
          <w:szCs w:val="26"/>
          <w:lang w:val="uk-UA"/>
        </w:rPr>
        <w:t xml:space="preserve"> </w:t>
      </w:r>
      <w:r w:rsidR="00A97A24">
        <w:rPr>
          <w:sz w:val="26"/>
          <w:szCs w:val="26"/>
          <w:lang w:val="uk-UA"/>
        </w:rPr>
        <w:t>10 210,00</w:t>
      </w:r>
      <w:r w:rsidR="009F7574">
        <w:rPr>
          <w:sz w:val="26"/>
          <w:szCs w:val="26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>бюджету 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 w:rsidR="00A97A24">
        <w:rPr>
          <w:sz w:val="26"/>
          <w:szCs w:val="26"/>
          <w:lang w:val="uk-UA"/>
        </w:rPr>
        <w:t>10 210,00</w:t>
      </w:r>
      <w:r>
        <w:rPr>
          <w:sz w:val="26"/>
          <w:szCs w:val="26"/>
          <w:lang w:val="uk-UA"/>
        </w:rPr>
        <w:t xml:space="preserve"> гривень,</w:t>
      </w:r>
      <w:r w:rsidRPr="005075B0">
        <w:rPr>
          <w:sz w:val="26"/>
          <w:szCs w:val="26"/>
          <w:lang w:val="uk-UA"/>
        </w:rPr>
        <w:t xml:space="preserve"> згідно з додатком </w:t>
      </w:r>
      <w:r w:rsidR="009F75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цього рішення.</w:t>
      </w: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A97A24">
        <w:rPr>
          <w:sz w:val="26"/>
          <w:szCs w:val="26"/>
          <w:lang w:val="uk-UA"/>
        </w:rPr>
        <w:t>605 529,00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 w:rsidR="00A97A24">
        <w:rPr>
          <w:sz w:val="26"/>
          <w:szCs w:val="26"/>
          <w:lang w:val="uk-UA"/>
        </w:rPr>
        <w:t>277 905,00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   </w:t>
      </w:r>
      <w:r w:rsidR="008E76C5">
        <w:rPr>
          <w:sz w:val="26"/>
          <w:szCs w:val="26"/>
          <w:lang w:val="uk-UA"/>
        </w:rPr>
        <w:t xml:space="preserve">    </w:t>
      </w:r>
      <w:r w:rsidR="00A97A24">
        <w:rPr>
          <w:sz w:val="26"/>
          <w:szCs w:val="26"/>
          <w:lang w:val="uk-UA"/>
        </w:rPr>
        <w:t>277 905,00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4539BA" w:rsidRDefault="004539BA" w:rsidP="007A6CDC">
      <w:pPr>
        <w:jc w:val="both"/>
        <w:rPr>
          <w:sz w:val="26"/>
          <w:szCs w:val="26"/>
          <w:lang w:val="uk-UA"/>
        </w:rPr>
      </w:pPr>
    </w:p>
    <w:p w:rsidR="004539BA" w:rsidRDefault="004539BA" w:rsidP="00BE67F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>з</w:t>
      </w:r>
      <w:r w:rsidR="00A97A24">
        <w:rPr>
          <w:sz w:val="26"/>
          <w:szCs w:val="26"/>
          <w:lang w:val="uk-UA"/>
        </w:rPr>
        <w:t>мен</w:t>
      </w:r>
      <w:r w:rsidRPr="004539BA">
        <w:rPr>
          <w:sz w:val="26"/>
          <w:szCs w:val="26"/>
          <w:lang w:val="uk-UA"/>
        </w:rPr>
        <w:t xml:space="preserve">шити обсяг надходжень субвенції з місцевого бюджету </w:t>
      </w:r>
      <w:r w:rsidR="00BE67F8" w:rsidRPr="00BE67F8">
        <w:rPr>
          <w:sz w:val="26"/>
          <w:szCs w:val="26"/>
          <w:lang w:val="uk-UA"/>
        </w:rPr>
        <w:t>на надання державної підтримки особам з особливими освітніми потребами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 w:rsidR="00A97A24">
        <w:rPr>
          <w:sz w:val="26"/>
          <w:szCs w:val="26"/>
          <w:lang w:val="uk-UA"/>
        </w:rPr>
        <w:t>1 833,00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4539BA" w:rsidP="00A97A24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A97A24" w:rsidRPr="00A97A24">
        <w:rPr>
          <w:sz w:val="26"/>
          <w:szCs w:val="26"/>
          <w:lang w:val="uk-UA"/>
        </w:rPr>
        <w:t>на здійснення переданих видатків у сфері освіти за рахунок коштів освітньої субвенції</w:t>
      </w:r>
      <w:r w:rsidRPr="004539BA">
        <w:rPr>
          <w:sz w:val="26"/>
          <w:szCs w:val="26"/>
          <w:lang w:val="uk-UA"/>
        </w:rPr>
        <w:t xml:space="preserve"> на суму </w:t>
      </w:r>
      <w:r w:rsidR="009766C4">
        <w:rPr>
          <w:sz w:val="26"/>
          <w:szCs w:val="26"/>
          <w:lang w:val="uk-UA"/>
        </w:rPr>
        <w:t xml:space="preserve"> </w:t>
      </w:r>
      <w:r w:rsidR="00A97A24">
        <w:rPr>
          <w:sz w:val="26"/>
          <w:szCs w:val="26"/>
          <w:lang w:val="uk-UA"/>
        </w:rPr>
        <w:t>107 362,00</w:t>
      </w:r>
      <w:r w:rsidRPr="004539BA">
        <w:rPr>
          <w:sz w:val="26"/>
          <w:szCs w:val="26"/>
          <w:lang w:val="uk-UA"/>
        </w:rPr>
        <w:t xml:space="preserve"> гри</w:t>
      </w:r>
      <w:r w:rsidR="00A97A24">
        <w:rPr>
          <w:sz w:val="26"/>
          <w:szCs w:val="26"/>
          <w:lang w:val="uk-UA"/>
        </w:rPr>
        <w:t>вень;</w:t>
      </w:r>
    </w:p>
    <w:p w:rsidR="00A97A24" w:rsidRDefault="00A97A24" w:rsidP="00A97A24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обсяг коштів переданих із сільського бюджету іншої субвенції </w:t>
      </w:r>
      <w:r w:rsidRPr="00A97A24">
        <w:rPr>
          <w:sz w:val="26"/>
          <w:szCs w:val="26"/>
          <w:lang w:val="uk-UA"/>
        </w:rPr>
        <w:t>Дядьковицькому сільському бюджету на утримання комунального закладу "Центр надання соціальних послуг" Дядьковицької сільської ради Рівненського району Рівненської області</w:t>
      </w:r>
      <w:r>
        <w:rPr>
          <w:sz w:val="26"/>
          <w:szCs w:val="26"/>
          <w:lang w:val="uk-UA"/>
        </w:rPr>
        <w:t xml:space="preserve"> на суму 122 376,00 гривень;</w:t>
      </w:r>
    </w:p>
    <w:p w:rsidR="00A97A24" w:rsidRDefault="00A97A24" w:rsidP="00A97A24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обсяг коштів переданих із сільського бюджету іншої субвенції </w:t>
      </w:r>
      <w:r w:rsidRPr="00A97A24">
        <w:rPr>
          <w:sz w:val="26"/>
          <w:szCs w:val="26"/>
          <w:lang w:val="uk-UA"/>
        </w:rPr>
        <w:t xml:space="preserve">Клеванському селищному бюджету для закупівлі обладнання КНП "Клеванська лікарня імені Михайла </w:t>
      </w:r>
      <w:proofErr w:type="spellStart"/>
      <w:r w:rsidRPr="00A97A24">
        <w:rPr>
          <w:sz w:val="26"/>
          <w:szCs w:val="26"/>
          <w:lang w:val="uk-UA"/>
        </w:rPr>
        <w:t>Вервеги</w:t>
      </w:r>
      <w:proofErr w:type="spellEnd"/>
      <w:r w:rsidRPr="00A97A24">
        <w:rPr>
          <w:sz w:val="26"/>
          <w:szCs w:val="26"/>
          <w:lang w:val="uk-UA"/>
        </w:rPr>
        <w:t>"</w:t>
      </w:r>
      <w:r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50 000</w:t>
      </w:r>
      <w:r>
        <w:rPr>
          <w:sz w:val="26"/>
          <w:szCs w:val="26"/>
          <w:lang w:val="uk-UA"/>
        </w:rPr>
        <w:t>,00 гривень</w:t>
      </w:r>
      <w:r>
        <w:rPr>
          <w:sz w:val="26"/>
          <w:szCs w:val="26"/>
          <w:lang w:val="uk-UA"/>
        </w:rPr>
        <w:t>.</w:t>
      </w: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</w:p>
    <w:p w:rsidR="0000036D" w:rsidRPr="00ED6884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 xml:space="preserve">. </w:t>
      </w:r>
      <w:r w:rsidR="0000036D" w:rsidRPr="0000036D">
        <w:rPr>
          <w:sz w:val="26"/>
          <w:szCs w:val="26"/>
          <w:lang w:val="uk-UA"/>
        </w:rPr>
        <w:t>Затвердити на 20</w:t>
      </w:r>
      <w:r w:rsidR="0000036D">
        <w:rPr>
          <w:sz w:val="26"/>
          <w:szCs w:val="26"/>
          <w:lang w:val="uk-UA"/>
        </w:rPr>
        <w:t>21</w:t>
      </w:r>
      <w:r w:rsidR="0000036D" w:rsidRPr="0000036D">
        <w:rPr>
          <w:sz w:val="26"/>
          <w:szCs w:val="26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згідно з </w:t>
      </w:r>
      <w:hyperlink r:id="rId6" w:anchor="n110" w:history="1">
        <w:r w:rsidR="0000036D" w:rsidRPr="0000036D">
          <w:rPr>
            <w:sz w:val="26"/>
            <w:szCs w:val="26"/>
            <w:lang w:val="uk-UA"/>
          </w:rPr>
          <w:t xml:space="preserve">додатком </w:t>
        </w:r>
      </w:hyperlink>
      <w:r w:rsidR="009F7574">
        <w:rPr>
          <w:sz w:val="26"/>
          <w:szCs w:val="26"/>
          <w:lang w:val="uk-UA"/>
        </w:rPr>
        <w:t>5</w:t>
      </w:r>
      <w:r w:rsidR="0000036D" w:rsidRPr="0000036D">
        <w:rPr>
          <w:sz w:val="26"/>
          <w:szCs w:val="26"/>
          <w:lang w:val="uk-UA"/>
        </w:rPr>
        <w:t> 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D55FA2" w:rsidRPr="00ED6884">
        <w:rPr>
          <w:sz w:val="26"/>
          <w:szCs w:val="26"/>
          <w:lang w:val="uk-UA"/>
        </w:rPr>
        <w:t xml:space="preserve">. Збільшити на 2021 рік розподіл видатків  сільського бюджету на реалізацію місцевих/регіональних програм на суму </w:t>
      </w:r>
      <w:r w:rsidR="00A97A24">
        <w:rPr>
          <w:sz w:val="26"/>
          <w:szCs w:val="26"/>
          <w:lang w:val="uk-UA"/>
        </w:rPr>
        <w:t>605 529,00</w:t>
      </w:r>
      <w:bookmarkStart w:id="0" w:name="_GoBack"/>
      <w:bookmarkEnd w:id="0"/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8A4795" w:rsidRDefault="00D55FA2" w:rsidP="00BE67F8">
      <w:pPr>
        <w:pStyle w:val="a7"/>
        <w:numPr>
          <w:ilvl w:val="0"/>
          <w:numId w:val="18"/>
        </w:numPr>
        <w:ind w:left="0" w:firstLine="851"/>
        <w:jc w:val="both"/>
        <w:rPr>
          <w:sz w:val="26"/>
          <w:szCs w:val="26"/>
          <w:lang w:val="uk-UA"/>
        </w:rPr>
      </w:pPr>
      <w:r w:rsidRPr="008A4795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9F7574" w:rsidRPr="008A4795">
        <w:rPr>
          <w:sz w:val="26"/>
          <w:szCs w:val="26"/>
          <w:lang w:val="uk-UA"/>
        </w:rPr>
        <w:t>3</w:t>
      </w:r>
      <w:r w:rsidRPr="008A4795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BE67F8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lastRenderedPageBreak/>
        <w:t xml:space="preserve">   </w:t>
      </w:r>
      <w:r w:rsidRPr="00ED6884">
        <w:rPr>
          <w:color w:val="000000"/>
          <w:lang w:val="uk-UA"/>
        </w:rPr>
        <w:t xml:space="preserve"> </w:t>
      </w:r>
      <w:r w:rsidR="00BE67F8">
        <w:rPr>
          <w:color w:val="000000"/>
          <w:lang w:val="uk-UA"/>
        </w:rPr>
        <w:t>8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594CCC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23239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6A45"/>
    <w:rsid w:val="000C7940"/>
    <w:rsid w:val="000D0FFA"/>
    <w:rsid w:val="000F076F"/>
    <w:rsid w:val="000F40EB"/>
    <w:rsid w:val="001019FF"/>
    <w:rsid w:val="0010765B"/>
    <w:rsid w:val="00110ECE"/>
    <w:rsid w:val="00127B20"/>
    <w:rsid w:val="001335EC"/>
    <w:rsid w:val="00142B90"/>
    <w:rsid w:val="00150B5B"/>
    <w:rsid w:val="00170625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34E8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4F3F"/>
    <w:rsid w:val="003D7171"/>
    <w:rsid w:val="003E4804"/>
    <w:rsid w:val="003E7A0B"/>
    <w:rsid w:val="003F3EE6"/>
    <w:rsid w:val="00400881"/>
    <w:rsid w:val="00401ACF"/>
    <w:rsid w:val="00420D85"/>
    <w:rsid w:val="004220A7"/>
    <w:rsid w:val="0042295C"/>
    <w:rsid w:val="004539BA"/>
    <w:rsid w:val="00454AB9"/>
    <w:rsid w:val="00461368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B3E5D"/>
    <w:rsid w:val="004D0518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94CCC"/>
    <w:rsid w:val="005A74E4"/>
    <w:rsid w:val="005B3877"/>
    <w:rsid w:val="005B4701"/>
    <w:rsid w:val="005B7F2A"/>
    <w:rsid w:val="005D26F8"/>
    <w:rsid w:val="005F0B34"/>
    <w:rsid w:val="00602CD4"/>
    <w:rsid w:val="0060441E"/>
    <w:rsid w:val="00615DCA"/>
    <w:rsid w:val="0062253C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8712E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53E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97A2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4EC9"/>
    <w:rsid w:val="00C377D6"/>
    <w:rsid w:val="00C37A4A"/>
    <w:rsid w:val="00C434D4"/>
    <w:rsid w:val="00C57562"/>
    <w:rsid w:val="00C628C5"/>
    <w:rsid w:val="00C84A29"/>
    <w:rsid w:val="00C87CF0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26A8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6A8A"/>
    <w:rsid w:val="00F53567"/>
    <w:rsid w:val="00F60ABC"/>
    <w:rsid w:val="00F752C6"/>
    <w:rsid w:val="00F755AC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A9D02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2666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159</cp:revision>
  <cp:lastPrinted>2021-10-29T05:37:00Z</cp:lastPrinted>
  <dcterms:created xsi:type="dcterms:W3CDTF">2016-01-25T10:53:00Z</dcterms:created>
  <dcterms:modified xsi:type="dcterms:W3CDTF">2021-11-22T13:12:00Z</dcterms:modified>
</cp:coreProperties>
</file>