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6E9" w:rsidRDefault="002C26E9" w:rsidP="002C26E9">
      <w:pPr>
        <w:pStyle w:val="Default"/>
      </w:pPr>
    </w:p>
    <w:p w:rsidR="002C26E9" w:rsidRDefault="002C26E9" w:rsidP="002C26E9">
      <w:pPr>
        <w:pStyle w:val="Default"/>
      </w:pPr>
      <w:r>
        <w:t xml:space="preserve"> </w:t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2C26E9" w:rsidRDefault="002C26E9" w:rsidP="002C26E9">
      <w:pPr>
        <w:pStyle w:val="4"/>
        <w:numPr>
          <w:ilvl w:val="3"/>
          <w:numId w:val="1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(восьме скликання)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C26E9" w:rsidRDefault="002C26E9" w:rsidP="002C26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26E9" w:rsidRDefault="00727B19" w:rsidP="002C26E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 квітня </w:t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36FA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Pr="00727B19">
        <w:rPr>
          <w:rFonts w:ascii="Times New Roman" w:hAnsi="Times New Roman" w:cs="Times New Roman"/>
          <w:sz w:val="28"/>
          <w:szCs w:val="28"/>
          <w:u w:val="single"/>
          <w:lang w:val="uk-UA"/>
        </w:rPr>
        <w:t>188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Програми фінансування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мобілізаційних заходів населення та заходів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 територіальної оборони на 2021</w:t>
      </w:r>
      <w:r w:rsidR="007F76D0">
        <w:rPr>
          <w:sz w:val="28"/>
          <w:szCs w:val="28"/>
        </w:rPr>
        <w:t>-2023</w:t>
      </w:r>
      <w:r>
        <w:rPr>
          <w:sz w:val="28"/>
          <w:szCs w:val="28"/>
        </w:rPr>
        <w:t xml:space="preserve"> рік 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матеріального забезпечення роботи програми, відповідно до Законів України «Про оборону України», «Про військовий обов'язок і військову службу», «Про мобілізаційну підготовку та мобілізацію»,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керую</w:t>
      </w:r>
      <w:r w:rsidR="006610AB">
        <w:rPr>
          <w:sz w:val="28"/>
          <w:szCs w:val="28"/>
        </w:rPr>
        <w:t>чись статтею 26 Закону України «</w:t>
      </w:r>
      <w:r>
        <w:rPr>
          <w:sz w:val="28"/>
          <w:szCs w:val="28"/>
        </w:rPr>
        <w:t>Про м</w:t>
      </w:r>
      <w:r w:rsidR="006610AB">
        <w:rPr>
          <w:sz w:val="28"/>
          <w:szCs w:val="28"/>
        </w:rPr>
        <w:t>ісцеве самоврядування в Україні»</w:t>
      </w:r>
      <w:r>
        <w:rPr>
          <w:sz w:val="28"/>
          <w:szCs w:val="28"/>
        </w:rPr>
        <w:t>, за погодженням з постійними комі</w:t>
      </w:r>
      <w:r w:rsidR="007F76D0">
        <w:rPr>
          <w:sz w:val="28"/>
          <w:szCs w:val="28"/>
        </w:rPr>
        <w:t xml:space="preserve">сіями сільської ради, Шпанівська </w:t>
      </w:r>
      <w:r>
        <w:rPr>
          <w:sz w:val="28"/>
          <w:szCs w:val="28"/>
        </w:rPr>
        <w:t xml:space="preserve">сільська рада </w:t>
      </w:r>
    </w:p>
    <w:p w:rsidR="002C26E9" w:rsidRDefault="00C36FA2" w:rsidP="007F76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C36FA2" w:rsidRDefault="00C36FA2" w:rsidP="007F76D0">
      <w:pPr>
        <w:pStyle w:val="Default"/>
        <w:jc w:val="center"/>
        <w:rPr>
          <w:sz w:val="28"/>
          <w:szCs w:val="28"/>
        </w:rPr>
      </w:pPr>
    </w:p>
    <w:p w:rsidR="002C26E9" w:rsidRDefault="002C26E9" w:rsidP="006610AB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Програму фінансування мобілізаційних заходів населення та заходів з територіальної оборони на 2021-</w:t>
      </w:r>
      <w:r w:rsidR="007F76D0">
        <w:rPr>
          <w:sz w:val="28"/>
          <w:szCs w:val="28"/>
        </w:rPr>
        <w:t>20</w:t>
      </w:r>
      <w:r>
        <w:rPr>
          <w:sz w:val="28"/>
          <w:szCs w:val="28"/>
        </w:rPr>
        <w:t xml:space="preserve">23 рік (далі - Програма), </w:t>
      </w:r>
      <w:r w:rsidR="00C36FA2">
        <w:rPr>
          <w:sz w:val="28"/>
          <w:szCs w:val="28"/>
        </w:rPr>
        <w:t>додається згідно додатку 1.</w:t>
      </w:r>
      <w:r>
        <w:rPr>
          <w:sz w:val="28"/>
          <w:szCs w:val="28"/>
        </w:rPr>
        <w:t xml:space="preserve"> </w:t>
      </w:r>
    </w:p>
    <w:p w:rsidR="002C26E9" w:rsidRDefault="002C26E9" w:rsidP="002C26E9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Виконавчому комітету забезпечити виконання заходів Програми.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</w:t>
      </w:r>
      <w:r w:rsidR="00FF5F48">
        <w:rPr>
          <w:sz w:val="28"/>
          <w:szCs w:val="28"/>
        </w:rPr>
        <w:t>на заступника сільського голови з питань діяльності вик</w:t>
      </w:r>
      <w:r w:rsidR="005917A5">
        <w:rPr>
          <w:sz w:val="28"/>
          <w:szCs w:val="28"/>
        </w:rPr>
        <w:t xml:space="preserve">онавчих органів </w:t>
      </w:r>
      <w:bookmarkStart w:id="0" w:name="_GoBack"/>
      <w:bookmarkEnd w:id="0"/>
      <w:r w:rsidR="00FF5F48">
        <w:rPr>
          <w:sz w:val="28"/>
          <w:szCs w:val="28"/>
        </w:rPr>
        <w:t>(Святослав КРЕЧКО)</w:t>
      </w:r>
    </w:p>
    <w:p w:rsidR="00727B19" w:rsidRDefault="00727B19" w:rsidP="002C26E9">
      <w:pPr>
        <w:pStyle w:val="Default"/>
        <w:rPr>
          <w:sz w:val="28"/>
          <w:szCs w:val="28"/>
        </w:rPr>
      </w:pP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 w:rsidR="007F76D0">
        <w:rPr>
          <w:sz w:val="28"/>
          <w:szCs w:val="28"/>
        </w:rPr>
        <w:t xml:space="preserve">                                                       </w:t>
      </w:r>
      <w:r w:rsidR="00AC2D6B">
        <w:rPr>
          <w:sz w:val="28"/>
          <w:szCs w:val="28"/>
        </w:rPr>
        <w:t xml:space="preserve">    </w:t>
      </w:r>
      <w:r w:rsidR="007F76D0">
        <w:rPr>
          <w:sz w:val="28"/>
          <w:szCs w:val="28"/>
        </w:rPr>
        <w:t xml:space="preserve">    Микола СТОЛЯРЧУК</w:t>
      </w:r>
    </w:p>
    <w:p w:rsidR="002C26E9" w:rsidRDefault="00EC297A" w:rsidP="00EC297A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2C26E9">
        <w:rPr>
          <w:sz w:val="28"/>
          <w:szCs w:val="28"/>
        </w:rPr>
        <w:t xml:space="preserve">Додаток </w:t>
      </w:r>
      <w:r w:rsidR="009D3867">
        <w:rPr>
          <w:sz w:val="28"/>
          <w:szCs w:val="28"/>
        </w:rPr>
        <w:t>1</w:t>
      </w:r>
    </w:p>
    <w:p w:rsidR="00EC297A" w:rsidRDefault="007F76D0" w:rsidP="00EC297A">
      <w:pPr>
        <w:pStyle w:val="Default"/>
        <w:ind w:left="5954"/>
        <w:rPr>
          <w:sz w:val="28"/>
          <w:szCs w:val="28"/>
        </w:rPr>
      </w:pPr>
      <w:r>
        <w:rPr>
          <w:sz w:val="28"/>
          <w:szCs w:val="28"/>
        </w:rPr>
        <w:t>до рішення Шпанівської</w:t>
      </w:r>
      <w:r w:rsidR="002C26E9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</w:t>
      </w:r>
      <w:r w:rsidR="00EC297A">
        <w:rPr>
          <w:sz w:val="28"/>
          <w:szCs w:val="28"/>
        </w:rPr>
        <w:t xml:space="preserve">               </w:t>
      </w:r>
    </w:p>
    <w:p w:rsidR="002C26E9" w:rsidRDefault="00727B19" w:rsidP="00EC297A">
      <w:pPr>
        <w:pStyle w:val="Default"/>
        <w:ind w:left="5954"/>
        <w:rPr>
          <w:sz w:val="28"/>
          <w:szCs w:val="28"/>
        </w:rPr>
      </w:pPr>
      <w:r>
        <w:rPr>
          <w:sz w:val="28"/>
          <w:szCs w:val="28"/>
        </w:rPr>
        <w:t>16.04.</w:t>
      </w:r>
      <w:r w:rsidR="006610AB">
        <w:rPr>
          <w:sz w:val="28"/>
          <w:szCs w:val="28"/>
        </w:rPr>
        <w:t xml:space="preserve">2021 року </w:t>
      </w:r>
      <w:r w:rsidR="00EC297A">
        <w:rPr>
          <w:sz w:val="28"/>
          <w:szCs w:val="28"/>
        </w:rPr>
        <w:t>№</w:t>
      </w:r>
      <w:r w:rsidRPr="00727B19">
        <w:rPr>
          <w:sz w:val="28"/>
          <w:szCs w:val="28"/>
          <w:u w:val="single"/>
        </w:rPr>
        <w:t>188</w:t>
      </w: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2C26E9" w:rsidP="007F76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2C26E9" w:rsidRDefault="002C26E9" w:rsidP="007F76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фінансування мобілізаційних заходів населення та заходів з територіальної оборони на 2021</w:t>
      </w:r>
      <w:r w:rsidR="00EC297A">
        <w:rPr>
          <w:b/>
          <w:bCs/>
          <w:sz w:val="28"/>
          <w:szCs w:val="28"/>
        </w:rPr>
        <w:t>-2023</w:t>
      </w:r>
      <w:r>
        <w:rPr>
          <w:b/>
          <w:bCs/>
          <w:sz w:val="28"/>
          <w:szCs w:val="28"/>
        </w:rPr>
        <w:t xml:space="preserve"> рік</w:t>
      </w: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Програма фінансування мобілізаційних заходів населення та заходів з</w:t>
      </w:r>
      <w:r w:rsidR="006610AB">
        <w:rPr>
          <w:sz w:val="28"/>
          <w:szCs w:val="28"/>
        </w:rPr>
        <w:t xml:space="preserve"> територіальної оборони на 2021 – 2023 роки</w:t>
      </w:r>
      <w:r>
        <w:rPr>
          <w:sz w:val="28"/>
          <w:szCs w:val="28"/>
        </w:rPr>
        <w:t xml:space="preserve">» (далі - Програма) розроблена відповідно до Законів України «Про оборону України», «Про військовий обов'язок і військову службу», «Про мобілізаційну підготовку та мобілізацію», Бюджетного кодексу України,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іншими нормативно-правовими актами. </w:t>
      </w:r>
    </w:p>
    <w:p w:rsidR="00EC297A" w:rsidRDefault="00EC297A" w:rsidP="00EC297A">
      <w:pPr>
        <w:pStyle w:val="Default"/>
        <w:jc w:val="both"/>
        <w:rPr>
          <w:sz w:val="28"/>
          <w:szCs w:val="28"/>
        </w:rPr>
      </w:pPr>
    </w:p>
    <w:p w:rsidR="002C26E9" w:rsidRPr="00EC297A" w:rsidRDefault="002C26E9" w:rsidP="00EC297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Мета Програми</w:t>
      </w:r>
    </w:p>
    <w:p w:rsidR="00EC297A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 забезпечення готовності та здатності</w:t>
      </w:r>
      <w:r w:rsidR="00EC297A">
        <w:rPr>
          <w:sz w:val="28"/>
          <w:szCs w:val="28"/>
        </w:rPr>
        <w:t xml:space="preserve"> Шпанівської</w:t>
      </w:r>
      <w:r>
        <w:rPr>
          <w:sz w:val="28"/>
          <w:szCs w:val="28"/>
        </w:rPr>
        <w:t xml:space="preserve"> сільської ради до роботи в умовах особливого періоду, а також готовності населення і території громади до оборони, вирішення комплексу завдань щодо підготовки до збройного захисту та захисту у разі збройної агресії або збройного конфлікту, якісної та цілеспрямованої мобілізації людських і транспортних ресурсів, призначених на доукомплектування військових частин.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</w:p>
    <w:p w:rsidR="00EC297A" w:rsidRDefault="002C26E9" w:rsidP="009A393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Перелік завдань Програми та очікувані результати її виконання.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Програми є: </w:t>
      </w:r>
    </w:p>
    <w:p w:rsidR="002C26E9" w:rsidRDefault="002C26E9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Проведення комплексу заходів, спрямованих на реалізацію повноважень органів місцевого самоврядування у сфері мобілізаційної роботи.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26E9">
        <w:rPr>
          <w:sz w:val="28"/>
          <w:szCs w:val="28"/>
        </w:rPr>
        <w:t xml:space="preserve">Здійснення заходів щодо забезпечення транспортування людських і транспортних ресурсів у військові організаційні структури.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C26E9">
        <w:rPr>
          <w:sz w:val="28"/>
          <w:szCs w:val="28"/>
        </w:rPr>
        <w:t xml:space="preserve">Створення сучасної, ефективної системи оповіщення населення про мобілізацію людей і транспортних ресурсів. </w:t>
      </w:r>
    </w:p>
    <w:p w:rsidR="002C26E9" w:rsidRDefault="00F2101C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C26E9">
        <w:rPr>
          <w:sz w:val="28"/>
          <w:szCs w:val="28"/>
        </w:rPr>
        <w:t xml:space="preserve">Здійснення воєнних та спеціальних заходів щодо запобігання терористичної діяльності в громаді.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Оплату праці лікарів-спеціалістів, які є членами військово-лікарської комісії, придбання інструментарію, медичного та господарського </w:t>
      </w:r>
      <w:proofErr w:type="spellStart"/>
      <w:r>
        <w:rPr>
          <w:sz w:val="28"/>
          <w:szCs w:val="28"/>
        </w:rPr>
        <w:t>айна</w:t>
      </w:r>
      <w:proofErr w:type="spellEnd"/>
      <w:r>
        <w:rPr>
          <w:sz w:val="28"/>
          <w:szCs w:val="28"/>
        </w:rPr>
        <w:t xml:space="preserve"> необхідного для забезпечення якісного та повного медичного огляду призовників;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Програма спрямована на розвиток і підтримку створення ланки територіальної підсистеми Єдиної системи оборони, створення правових, організаційно-економічних умов для її розвитку, формування механізму регулювання та координації, які б сприяли: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підвищенню рівня готовності бази мобілізаційного розгортання;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впровадженню програмно-апаратних комплексів моніторингу, збирання, накопичення, передачі, обробки і відображення даних на базі сучасної комп'ютерної техніки, телекомунікаційних засобів, інформаційно-програмних продуктів;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Реалізація основних завдань Програми дасть змогу захистити населення і територію громади, запобігати виникненню проявів терористичної діяльності, підвищити рівень готовності бази мобілізаційного розгортання до дій за призначенням.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Виконання завдань Програми забезпечить суттєве підвищення рівня готовності населення, підприємств, установ, організацій незалежно від форм власності при виникненні збройної агресії або збройного конфлікту та проведення мобілізації людей і транспортних ресурсів. </w:t>
      </w:r>
    </w:p>
    <w:p w:rsidR="006E61CD" w:rsidRDefault="006E61CD" w:rsidP="00EC297A">
      <w:pPr>
        <w:pStyle w:val="Default"/>
        <w:jc w:val="both"/>
        <w:rPr>
          <w:rFonts w:eastAsia="Arial Unicode MS"/>
          <w:sz w:val="28"/>
          <w:szCs w:val="28"/>
        </w:rPr>
      </w:pPr>
    </w:p>
    <w:p w:rsidR="002C26E9" w:rsidRDefault="002C26E9" w:rsidP="009A3932">
      <w:pPr>
        <w:pStyle w:val="Default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3. Джерела та обсяги фінансової підтримки Програми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Видатки, пов’язані з виконанням Програми, здійснюються згідно із затвердженими в установленому порядку кошторисами з місцевого бюджету, позабюджетних фондів, інших джерел, не заборонених чинним законодавством України.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Фінансування заходів Програми здійснюється у межах видатків, що передбачаються в сільському бюджеті. Обсяги фінансування можуть коригуватися в межах бюджетного періоду. Обсяг бюджетних коштів визначається виходячи і</w:t>
      </w:r>
      <w:r w:rsidR="006E61CD">
        <w:rPr>
          <w:rFonts w:eastAsia="Arial Unicode MS"/>
          <w:sz w:val="28"/>
          <w:szCs w:val="28"/>
        </w:rPr>
        <w:t>з фінансової можливості бюджету</w:t>
      </w:r>
      <w:r>
        <w:rPr>
          <w:rFonts w:eastAsia="Arial Unicode MS"/>
          <w:sz w:val="28"/>
          <w:szCs w:val="28"/>
        </w:rPr>
        <w:t xml:space="preserve">. 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Pr="006E61CD" w:rsidRDefault="002C26E9" w:rsidP="006E61CD">
      <w:pPr>
        <w:pStyle w:val="Default"/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4. Термін виконання Програми</w:t>
      </w:r>
    </w:p>
    <w:p w:rsidR="002C26E9" w:rsidRDefault="002C26E9" w:rsidP="009A3932">
      <w:pPr>
        <w:pStyle w:val="Default"/>
        <w:ind w:firstLine="708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Програма діє впродовж 2021</w:t>
      </w:r>
      <w:r w:rsidR="006E61CD">
        <w:rPr>
          <w:rFonts w:eastAsia="Arial Unicode MS"/>
          <w:sz w:val="28"/>
          <w:szCs w:val="28"/>
        </w:rPr>
        <w:t>-2023</w:t>
      </w:r>
      <w:r>
        <w:rPr>
          <w:rFonts w:eastAsia="Arial Unicode MS"/>
          <w:sz w:val="28"/>
          <w:szCs w:val="28"/>
        </w:rPr>
        <w:t xml:space="preserve"> року. 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Показники Програми за необхідності можуть коригуватися під впливом зовнішніх факторів (зміни в законодавстві, економічних та соціальних умов тощо). 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Default="002C26E9" w:rsidP="006E61CD">
      <w:pPr>
        <w:pStyle w:val="Default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5. Порядок використання коштів, передбачених на реалізацію Програми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Фінансування заходів Програми здійснюється </w:t>
      </w:r>
      <w:proofErr w:type="spellStart"/>
      <w:r w:rsidR="006E61CD">
        <w:rPr>
          <w:rFonts w:eastAsia="Arial Unicode MS"/>
          <w:sz w:val="28"/>
          <w:szCs w:val="28"/>
        </w:rPr>
        <w:t>Шпанівською</w:t>
      </w:r>
      <w:proofErr w:type="spellEnd"/>
      <w:r w:rsidR="006E61CD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сільською радою, через надання фінансування закладам охорони здоров’я, іншим суб'єктам господарювання, що проводять мобілізаційні заходи на безповоротній основі. Фінансування здійснюється в межах бюджетних призначень, встановлених рішенням сільської ради. </w:t>
      </w:r>
    </w:p>
    <w:p w:rsidR="00EF1390" w:rsidRDefault="00EF1390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2C26E9" w:rsidRDefault="002C26E9" w:rsidP="00EF1390">
      <w:pPr>
        <w:pStyle w:val="Default"/>
        <w:spacing w:after="31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6. Очікувані кінцеві результати виконання Програми.</w:t>
      </w:r>
    </w:p>
    <w:p w:rsidR="002C26E9" w:rsidRDefault="00BA3E11" w:rsidP="00BA3E11">
      <w:pPr>
        <w:pStyle w:val="Default"/>
        <w:spacing w:after="31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</w:t>
      </w:r>
      <w:r w:rsidR="00E9397D">
        <w:rPr>
          <w:rFonts w:eastAsia="Arial Unicode MS"/>
          <w:sz w:val="28"/>
          <w:szCs w:val="28"/>
        </w:rPr>
        <w:t xml:space="preserve"> </w:t>
      </w:r>
      <w:r w:rsidR="002C26E9">
        <w:rPr>
          <w:rFonts w:eastAsia="Arial Unicode MS"/>
          <w:sz w:val="28"/>
          <w:szCs w:val="28"/>
        </w:rPr>
        <w:t xml:space="preserve">Забезпечення проведення заходів з мобілізаційної підготовки та мобілізації. </w:t>
      </w:r>
    </w:p>
    <w:p w:rsidR="00EF1390" w:rsidRDefault="002C26E9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2. Підвищення рівня мобілізаційної готовності громади, </w:t>
      </w:r>
      <w:r w:rsidR="00EF1390">
        <w:rPr>
          <w:rFonts w:eastAsia="Arial Unicode MS"/>
          <w:sz w:val="28"/>
          <w:szCs w:val="28"/>
        </w:rPr>
        <w:t xml:space="preserve">підприємств, установ та організацій. </w:t>
      </w:r>
    </w:p>
    <w:p w:rsidR="00EF1390" w:rsidRDefault="00EF1390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3. Забезпечення готовності підприємств, установ та організацій до переведення і функціонування в умовах особливого періоду. </w:t>
      </w:r>
    </w:p>
    <w:p w:rsidR="00EF1390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4. </w:t>
      </w:r>
      <w:r w:rsidR="00BC13E8">
        <w:rPr>
          <w:rFonts w:eastAsia="Arial Unicode MS"/>
          <w:sz w:val="28"/>
          <w:szCs w:val="28"/>
        </w:rPr>
        <w:t xml:space="preserve">Створення </w:t>
      </w:r>
      <w:r w:rsidR="00EF1390">
        <w:rPr>
          <w:rFonts w:eastAsia="Arial Unicode MS"/>
          <w:sz w:val="28"/>
          <w:szCs w:val="28"/>
        </w:rPr>
        <w:t xml:space="preserve">дієвої системи управління, оповіщення, збору мобілізаційних ресурсів. </w:t>
      </w:r>
    </w:p>
    <w:p w:rsidR="00EF1390" w:rsidRDefault="00BA3E11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5.</w:t>
      </w:r>
      <w:r w:rsidR="00BC13E8">
        <w:rPr>
          <w:rFonts w:eastAsia="Arial Unicode MS"/>
          <w:sz w:val="28"/>
          <w:szCs w:val="28"/>
        </w:rPr>
        <w:t xml:space="preserve"> </w:t>
      </w:r>
      <w:r w:rsidR="00EF1390">
        <w:rPr>
          <w:rFonts w:eastAsia="Arial Unicode MS"/>
          <w:sz w:val="28"/>
          <w:szCs w:val="28"/>
        </w:rPr>
        <w:t xml:space="preserve">Суворе дотримання режиму секретності та прихованості при проведенні заходів мобілізаційної підготовки. </w:t>
      </w:r>
    </w:p>
    <w:p w:rsidR="00E9397D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BC13E8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Секретар сільської ради                        </w:t>
      </w:r>
      <w:r w:rsidR="00FB600C">
        <w:rPr>
          <w:rFonts w:eastAsia="Arial Unicode MS"/>
          <w:sz w:val="28"/>
          <w:szCs w:val="28"/>
        </w:rPr>
        <w:t xml:space="preserve">                           </w:t>
      </w:r>
      <w:r>
        <w:rPr>
          <w:rFonts w:eastAsia="Arial Unicode MS"/>
          <w:sz w:val="28"/>
          <w:szCs w:val="28"/>
        </w:rPr>
        <w:t xml:space="preserve">         Марія ДОГОЙДА </w:t>
      </w:r>
    </w:p>
    <w:p w:rsidR="002C26E9" w:rsidRDefault="002C26E9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 w:rsidP="009D3867">
      <w:pPr>
        <w:pStyle w:val="Default"/>
        <w:pageBreakBefore/>
        <w:ind w:left="5812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Додаток </w:t>
      </w:r>
    </w:p>
    <w:p w:rsidR="003C5B31" w:rsidRDefault="009D3867" w:rsidP="009D3867">
      <w:pPr>
        <w:pStyle w:val="Default"/>
        <w:ind w:left="5812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Програми</w:t>
      </w:r>
    </w:p>
    <w:p w:rsidR="003C5B31" w:rsidRPr="006610AB" w:rsidRDefault="003C5B31" w:rsidP="009D3867">
      <w:pPr>
        <w:jc w:val="right"/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Default="003C5B31" w:rsidP="003C5B31">
      <w:pPr>
        <w:jc w:val="center"/>
        <w:rPr>
          <w:b/>
          <w:sz w:val="28"/>
          <w:lang w:val="uk-UA"/>
        </w:rPr>
      </w:pPr>
      <w:r w:rsidRPr="00BA3E11">
        <w:rPr>
          <w:b/>
          <w:sz w:val="28"/>
          <w:lang w:val="uk-UA"/>
        </w:rPr>
        <w:t>Прогнозовані обсяги видатків</w:t>
      </w:r>
    </w:p>
    <w:p w:rsidR="009D3867" w:rsidRPr="00BA3E11" w:rsidRDefault="009D3867" w:rsidP="003C5B3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на виконання Програми</w:t>
      </w:r>
    </w:p>
    <w:p w:rsidR="003C5B31" w:rsidRPr="003C5B31" w:rsidRDefault="003C5B31" w:rsidP="003C5B31">
      <w:pPr>
        <w:jc w:val="center"/>
        <w:rPr>
          <w:b/>
          <w:sz w:val="28"/>
        </w:rPr>
      </w:pP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1188"/>
        <w:gridCol w:w="1086"/>
        <w:gridCol w:w="1146"/>
        <w:gridCol w:w="1488"/>
      </w:tblGrid>
      <w:tr w:rsidR="003C5B31" w:rsidTr="003C5B31">
        <w:trPr>
          <w:trHeight w:val="780"/>
        </w:trPr>
        <w:tc>
          <w:tcPr>
            <w:tcW w:w="4008" w:type="dxa"/>
            <w:vMerge w:val="restart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</w:p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коштів, які пропонується передбачити на виконання Програми</w:t>
            </w:r>
          </w:p>
        </w:tc>
        <w:tc>
          <w:tcPr>
            <w:tcW w:w="4908" w:type="dxa"/>
            <w:gridSpan w:val="4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Усього витрат сільського бюджету на виконання Програми (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.)</w:t>
            </w:r>
          </w:p>
        </w:tc>
      </w:tr>
      <w:tr w:rsidR="003C5B31" w:rsidTr="003C5B31">
        <w:trPr>
          <w:trHeight w:val="792"/>
        </w:trPr>
        <w:tc>
          <w:tcPr>
            <w:tcW w:w="4008" w:type="dxa"/>
            <w:vMerge/>
          </w:tcPr>
          <w:p w:rsidR="003C5B31" w:rsidRDefault="003C5B31">
            <w:pPr>
              <w:rPr>
                <w:sz w:val="28"/>
                <w:lang w:val="uk-UA"/>
              </w:rPr>
            </w:pPr>
          </w:p>
        </w:tc>
        <w:tc>
          <w:tcPr>
            <w:tcW w:w="1188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2021 рік</w:t>
            </w:r>
          </w:p>
        </w:tc>
        <w:tc>
          <w:tcPr>
            <w:tcW w:w="1086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2022 рік</w:t>
            </w:r>
          </w:p>
        </w:tc>
        <w:tc>
          <w:tcPr>
            <w:tcW w:w="1146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2023 рік</w:t>
            </w:r>
          </w:p>
        </w:tc>
        <w:tc>
          <w:tcPr>
            <w:tcW w:w="1488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</w:tr>
      <w:tr w:rsidR="003C5B31" w:rsidTr="003C5B31">
        <w:trPr>
          <w:trHeight w:val="1030"/>
        </w:trPr>
        <w:tc>
          <w:tcPr>
            <w:tcW w:w="4008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ресурсів, всього, в тому числі:</w:t>
            </w:r>
          </w:p>
        </w:tc>
        <w:tc>
          <w:tcPr>
            <w:tcW w:w="1188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6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146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88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</w:tr>
      <w:tr w:rsidR="003C5B31" w:rsidTr="003C5B31">
        <w:trPr>
          <w:trHeight w:val="1021"/>
        </w:trPr>
        <w:tc>
          <w:tcPr>
            <w:tcW w:w="4008" w:type="dxa"/>
          </w:tcPr>
          <w:p w:rsidR="003C5B31" w:rsidRPr="003C5B31" w:rsidRDefault="003C5B31" w:rsidP="003C5B31">
            <w:pPr>
              <w:rPr>
                <w:sz w:val="28"/>
                <w:lang w:val="uk-UA"/>
              </w:rPr>
            </w:pPr>
          </w:p>
          <w:p w:rsidR="003C5B31" w:rsidRPr="003C5B31" w:rsidRDefault="003C5B31" w:rsidP="003C5B31">
            <w:pPr>
              <w:pStyle w:val="a4"/>
              <w:numPr>
                <w:ilvl w:val="0"/>
                <w:numId w:val="12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сільський бюджет</w:t>
            </w:r>
          </w:p>
        </w:tc>
        <w:tc>
          <w:tcPr>
            <w:tcW w:w="1188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086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146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488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</w:t>
            </w:r>
          </w:p>
        </w:tc>
      </w:tr>
    </w:tbl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                                                       Марія ДОГОЙДА</w:t>
      </w: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sectPr w:rsidR="00C46BA7" w:rsidSect="00AC2D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452AE6"/>
    <w:multiLevelType w:val="hybridMultilevel"/>
    <w:tmpl w:val="EEA024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CB0914"/>
    <w:multiLevelType w:val="hybridMultilevel"/>
    <w:tmpl w:val="B845F6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94D014B"/>
    <w:multiLevelType w:val="hybridMultilevel"/>
    <w:tmpl w:val="4F86DD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E7E24E"/>
    <w:multiLevelType w:val="hybridMultilevel"/>
    <w:tmpl w:val="293BE9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BA24A"/>
    <w:multiLevelType w:val="hybridMultilevel"/>
    <w:tmpl w:val="A66B4F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E06A7E"/>
    <w:multiLevelType w:val="hybridMultilevel"/>
    <w:tmpl w:val="6CB4AC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1DCC903"/>
    <w:multiLevelType w:val="hybridMultilevel"/>
    <w:tmpl w:val="E4CE5F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pStyle w:val="4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C997F3D"/>
    <w:multiLevelType w:val="hybridMultilevel"/>
    <w:tmpl w:val="9CC901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6398A88"/>
    <w:multiLevelType w:val="hybridMultilevel"/>
    <w:tmpl w:val="3BAC55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094CA4"/>
    <w:multiLevelType w:val="hybridMultilevel"/>
    <w:tmpl w:val="3CE48916"/>
    <w:lvl w:ilvl="0" w:tplc="CD68951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A846E"/>
    <w:multiLevelType w:val="hybridMultilevel"/>
    <w:tmpl w:val="59440B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E9"/>
    <w:rsid w:val="00283B97"/>
    <w:rsid w:val="002C26E9"/>
    <w:rsid w:val="003C5B31"/>
    <w:rsid w:val="00430551"/>
    <w:rsid w:val="005917A5"/>
    <w:rsid w:val="006610AB"/>
    <w:rsid w:val="006E61CD"/>
    <w:rsid w:val="00727B19"/>
    <w:rsid w:val="007F76D0"/>
    <w:rsid w:val="00947B57"/>
    <w:rsid w:val="009A3932"/>
    <w:rsid w:val="009D3867"/>
    <w:rsid w:val="00AC2D6B"/>
    <w:rsid w:val="00BA3E11"/>
    <w:rsid w:val="00BC13E8"/>
    <w:rsid w:val="00C36FA2"/>
    <w:rsid w:val="00C46BA7"/>
    <w:rsid w:val="00C86433"/>
    <w:rsid w:val="00CF3334"/>
    <w:rsid w:val="00E9397D"/>
    <w:rsid w:val="00EC297A"/>
    <w:rsid w:val="00EF1390"/>
    <w:rsid w:val="00F2101C"/>
    <w:rsid w:val="00F40F0A"/>
    <w:rsid w:val="00FB600C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28158-7014-4D64-AC7E-5A4A0E6A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qFormat/>
    <w:rsid w:val="002C26E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2C26E9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qFormat/>
    <w:rsid w:val="002C26E9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List Paragraph"/>
    <w:basedOn w:val="a"/>
    <w:uiPriority w:val="34"/>
    <w:qFormat/>
    <w:rsid w:val="003C5B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5F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F4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FDC13-44F1-4B5B-848F-2DCF02C8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1138</Words>
  <Characters>6490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13</cp:revision>
  <cp:lastPrinted>2021-04-22T10:00:00Z</cp:lastPrinted>
  <dcterms:created xsi:type="dcterms:W3CDTF">2021-04-02T10:35:00Z</dcterms:created>
  <dcterms:modified xsi:type="dcterms:W3CDTF">2021-04-23T06:35:00Z</dcterms:modified>
</cp:coreProperties>
</file>