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671" w:rsidRDefault="00675671" w:rsidP="006756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/>
        </w:rPr>
        <w:drawing>
          <wp:inline distT="0" distB="0" distL="0" distR="0">
            <wp:extent cx="419100" cy="6000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671" w:rsidRDefault="00675671" w:rsidP="00675671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75671" w:rsidRDefault="00675671" w:rsidP="00675671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75671" w:rsidRDefault="00675671" w:rsidP="0067567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ДЕМИДІВСЬКА СЕЛИЩНА РАДА</w:t>
      </w:r>
    </w:p>
    <w:p w:rsidR="00675671" w:rsidRDefault="00675671" w:rsidP="0067567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75671" w:rsidRDefault="00675671" w:rsidP="0067567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F1323">
        <w:rPr>
          <w:rFonts w:ascii="Times New Roman CYR" w:hAnsi="Times New Roman CYR" w:cs="Times New Roman CYR"/>
          <w:bCs/>
          <w:sz w:val="28"/>
          <w:szCs w:val="28"/>
          <w:lang w:val="uk-UA"/>
        </w:rPr>
        <w:t>двадцята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7 скликання)</w:t>
      </w:r>
    </w:p>
    <w:p w:rsidR="00675671" w:rsidRDefault="00675671" w:rsidP="0067567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75671" w:rsidRDefault="00675671" w:rsidP="0067567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75671" w:rsidRDefault="00675671" w:rsidP="00675671">
      <w:pPr>
        <w:rPr>
          <w:b/>
          <w:bCs/>
          <w:sz w:val="36"/>
          <w:szCs w:val="36"/>
          <w:lang w:val="uk-UA"/>
        </w:rPr>
      </w:pPr>
    </w:p>
    <w:p w:rsidR="00675671" w:rsidRDefault="00EF1323" w:rsidP="0067567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16 жовтня</w:t>
      </w:r>
      <w:r w:rsidR="00675671">
        <w:rPr>
          <w:bCs/>
          <w:sz w:val="28"/>
          <w:szCs w:val="28"/>
          <w:lang w:val="uk-UA"/>
        </w:rPr>
        <w:t xml:space="preserve"> 2019 року</w:t>
      </w:r>
      <w:r w:rsidR="00675671">
        <w:rPr>
          <w:bCs/>
          <w:sz w:val="28"/>
          <w:szCs w:val="28"/>
          <w:lang w:val="uk-UA"/>
        </w:rPr>
        <w:tab/>
      </w:r>
      <w:r w:rsidR="00675671">
        <w:rPr>
          <w:bCs/>
          <w:sz w:val="28"/>
          <w:szCs w:val="28"/>
          <w:lang w:val="uk-UA"/>
        </w:rPr>
        <w:tab/>
      </w:r>
      <w:r w:rsidR="00675671">
        <w:rPr>
          <w:bCs/>
          <w:sz w:val="28"/>
          <w:szCs w:val="28"/>
          <w:lang w:val="uk-UA"/>
        </w:rPr>
        <w:tab/>
      </w:r>
      <w:r w:rsidR="00675671">
        <w:rPr>
          <w:bCs/>
          <w:sz w:val="28"/>
          <w:szCs w:val="28"/>
          <w:lang w:val="uk-UA"/>
        </w:rPr>
        <w:tab/>
        <w:t xml:space="preserve">                   </w:t>
      </w:r>
      <w:r w:rsidR="00675671">
        <w:rPr>
          <w:bCs/>
          <w:sz w:val="28"/>
          <w:szCs w:val="28"/>
          <w:lang w:val="uk-UA"/>
        </w:rPr>
        <w:tab/>
      </w:r>
      <w:r w:rsidR="00675671">
        <w:rPr>
          <w:bCs/>
          <w:sz w:val="28"/>
          <w:szCs w:val="28"/>
          <w:lang w:val="uk-UA"/>
        </w:rPr>
        <w:tab/>
        <w:t xml:space="preserve">   </w:t>
      </w:r>
      <w:r w:rsidR="00675671">
        <w:rPr>
          <w:bCs/>
          <w:sz w:val="28"/>
          <w:szCs w:val="28"/>
          <w:lang w:val="uk-UA"/>
        </w:rPr>
        <w:tab/>
        <w:t xml:space="preserve"> №</w:t>
      </w:r>
      <w:r>
        <w:rPr>
          <w:bCs/>
          <w:sz w:val="28"/>
          <w:szCs w:val="28"/>
          <w:lang w:val="uk-UA"/>
        </w:rPr>
        <w:t xml:space="preserve"> 1200</w:t>
      </w:r>
    </w:p>
    <w:p w:rsidR="00675671" w:rsidRDefault="00675671" w:rsidP="00675671">
      <w:pPr>
        <w:tabs>
          <w:tab w:val="left" w:pos="5315"/>
        </w:tabs>
        <w:rPr>
          <w:b/>
          <w:bCs/>
          <w:lang w:val="uk-UA"/>
        </w:rPr>
      </w:pPr>
    </w:p>
    <w:p w:rsidR="00675671" w:rsidRDefault="00675671" w:rsidP="00675671">
      <w:pPr>
        <w:ind w:right="4961"/>
        <w:jc w:val="both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затвердження норм надання послуг з вивезення твердих побутових відходів</w:t>
      </w:r>
    </w:p>
    <w:p w:rsidR="00675671" w:rsidRDefault="00675671" w:rsidP="00675671">
      <w:pPr>
        <w:rPr>
          <w:sz w:val="28"/>
          <w:szCs w:val="28"/>
          <w:lang w:val="uk-UA"/>
        </w:rPr>
      </w:pPr>
    </w:p>
    <w:p w:rsidR="00675671" w:rsidRDefault="00675671" w:rsidP="00675671">
      <w:pPr>
        <w:rPr>
          <w:sz w:val="28"/>
          <w:szCs w:val="28"/>
          <w:lang w:val="uk-UA"/>
        </w:rPr>
      </w:pPr>
    </w:p>
    <w:p w:rsidR="00675671" w:rsidRDefault="00675671" w:rsidP="0067567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 Закону України «Про місцеве самоврядування в Україні», законів України «Про відходи», «Про житлово-комунальні послуги»,  «Про засади державної регуляторної політики у сфері господарської діяльності», розглянувши лист Демидівського ВУЖКГ про затвердження норм надання послуг з вивезення твердих побутових відходів в Демидівській селищній раді, розроблених відповідно до Правил визначення норм надання послуг з вивезення побутових відходів, що затверджені наказом Міністерства з питань житлово-комунального господарства України від 30 липня 2010 року № 259, зареєстрованим в Міністерстві юстиції України 29 вересня 2010 року за № 871/18166, враховуючи рішення Демидівської селищної ради від 14 серпня 2019 року № 1067 «</w:t>
      </w:r>
      <w:r w:rsidRPr="00857894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 xml:space="preserve"> надання згоди на</w:t>
      </w:r>
      <w:r w:rsidRPr="00857894">
        <w:rPr>
          <w:bCs/>
          <w:sz w:val="28"/>
          <w:szCs w:val="28"/>
          <w:lang w:val="uk-UA"/>
        </w:rPr>
        <w:t xml:space="preserve"> затвердження норм надання послуг з вивезення твердих побутових відходів</w:t>
      </w:r>
      <w:r>
        <w:rPr>
          <w:sz w:val="28"/>
          <w:szCs w:val="28"/>
          <w:lang w:val="uk-UA"/>
        </w:rPr>
        <w:t>», з метою поліпшення своєчасної та якісної роботи по санітарному очищенню території населених пунктів від твердих побутових відходів, Демидівська селищна рада</w:t>
      </w:r>
    </w:p>
    <w:p w:rsidR="00675671" w:rsidRDefault="00675671" w:rsidP="00675671">
      <w:pPr>
        <w:ind w:firstLine="709"/>
        <w:jc w:val="both"/>
        <w:rPr>
          <w:sz w:val="28"/>
          <w:szCs w:val="28"/>
          <w:lang w:val="uk-UA"/>
        </w:rPr>
      </w:pPr>
    </w:p>
    <w:p w:rsidR="00675671" w:rsidRDefault="00675671" w:rsidP="00675671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75671" w:rsidRDefault="00675671" w:rsidP="00675671">
      <w:pPr>
        <w:ind w:firstLine="709"/>
        <w:jc w:val="center"/>
        <w:rPr>
          <w:sz w:val="28"/>
          <w:szCs w:val="28"/>
          <w:lang w:val="uk-UA"/>
        </w:rPr>
      </w:pPr>
    </w:p>
    <w:p w:rsidR="00675671" w:rsidRDefault="00675671" w:rsidP="00675671">
      <w:pPr>
        <w:pStyle w:val="ac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Затвердити Норми надання послуг з вивезення твердих побутових відходів згідно з додатком.</w:t>
      </w:r>
    </w:p>
    <w:p w:rsidR="00675671" w:rsidRDefault="00675671" w:rsidP="00675671">
      <w:pPr>
        <w:pStyle w:val="ad"/>
        <w:numPr>
          <w:ilvl w:val="0"/>
          <w:numId w:val="3"/>
        </w:numPr>
        <w:tabs>
          <w:tab w:val="num" w:pos="0"/>
          <w:tab w:val="left" w:pos="993"/>
        </w:tabs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Рішення вступає в дію з моменту оприлюднення.</w:t>
      </w:r>
    </w:p>
    <w:p w:rsidR="00675671" w:rsidRDefault="00675671" w:rsidP="00675671">
      <w:pPr>
        <w:pStyle w:val="ad"/>
        <w:numPr>
          <w:ilvl w:val="0"/>
          <w:numId w:val="3"/>
        </w:numPr>
        <w:tabs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 постійну комісію з питань бюджету, фінансів, соціально-економічного розвитку, житлово-комунального господарства, комунальної власності, підтримки підприємництва, торгівельного та побутового обслуговування населення, майнової політики та приватизації.</w:t>
      </w:r>
    </w:p>
    <w:p w:rsidR="00675671" w:rsidRDefault="00675671" w:rsidP="00675671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  <w:bookmarkStart w:id="0" w:name="_GoBack"/>
      <w:bookmarkEnd w:id="0"/>
    </w:p>
    <w:p w:rsidR="00675671" w:rsidRDefault="00675671" w:rsidP="00675671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675671" w:rsidRDefault="00675671" w:rsidP="00675671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675671" w:rsidRDefault="00675671" w:rsidP="00675671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675671" w:rsidRDefault="00675671" w:rsidP="00675671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>
        <w:rPr>
          <w:sz w:val="28"/>
          <w:szCs w:val="28"/>
          <w:lang w:val="uk-UA"/>
        </w:rPr>
        <w:tab/>
        <w:t xml:space="preserve">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proofErr w:type="spellStart"/>
      <w:r>
        <w:rPr>
          <w:sz w:val="28"/>
          <w:szCs w:val="28"/>
          <w:lang w:val="uk-UA"/>
        </w:rPr>
        <w:t>В.Іщук</w:t>
      </w:r>
      <w:proofErr w:type="spellEnd"/>
    </w:p>
    <w:p w:rsidR="00675671" w:rsidRDefault="00675671" w:rsidP="00675671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до рішення</w:t>
      </w:r>
    </w:p>
    <w:p w:rsidR="00675671" w:rsidRDefault="00675671" w:rsidP="00675671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Демидівської селищної ради</w:t>
      </w:r>
    </w:p>
    <w:p w:rsidR="00675671" w:rsidRDefault="00EF1323" w:rsidP="00675671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16.10.2019</w:t>
      </w:r>
      <w:r w:rsidR="00675671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 xml:space="preserve"> 1200</w:t>
      </w:r>
    </w:p>
    <w:p w:rsidR="00675671" w:rsidRDefault="00675671" w:rsidP="00675671">
      <w:pPr>
        <w:tabs>
          <w:tab w:val="num" w:pos="0"/>
        </w:tabs>
        <w:ind w:firstLine="900"/>
        <w:jc w:val="center"/>
        <w:rPr>
          <w:sz w:val="28"/>
          <w:szCs w:val="28"/>
          <w:lang w:val="uk-UA"/>
        </w:rPr>
      </w:pPr>
    </w:p>
    <w:p w:rsidR="00675671" w:rsidRDefault="00675671" w:rsidP="00675671">
      <w:pPr>
        <w:tabs>
          <w:tab w:val="num" w:pos="0"/>
        </w:tabs>
        <w:ind w:firstLine="900"/>
        <w:jc w:val="center"/>
        <w:rPr>
          <w:sz w:val="28"/>
          <w:szCs w:val="28"/>
          <w:lang w:val="uk-UA"/>
        </w:rPr>
      </w:pPr>
    </w:p>
    <w:p w:rsidR="00675671" w:rsidRDefault="00675671" w:rsidP="00675671">
      <w:pPr>
        <w:tabs>
          <w:tab w:val="num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Норми надання послуг з вивезення твердих побутових відходів</w:t>
      </w:r>
    </w:p>
    <w:p w:rsidR="00675671" w:rsidRDefault="00675671" w:rsidP="00675671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7"/>
        <w:gridCol w:w="1652"/>
        <w:gridCol w:w="899"/>
        <w:gridCol w:w="992"/>
        <w:gridCol w:w="851"/>
        <w:gridCol w:w="992"/>
        <w:gridCol w:w="992"/>
      </w:tblGrid>
      <w:tr w:rsidR="00675671" w:rsidTr="00675671">
        <w:trPr>
          <w:cantSplit/>
          <w:trHeight w:val="225"/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Об'єкт утворення ТПВ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Розрахункова одиниця</w:t>
            </w:r>
          </w:p>
        </w:tc>
        <w:tc>
          <w:tcPr>
            <w:tcW w:w="3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Норма утворення ТПВ на одну розрахункову одиницю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Щільність, кг/м</w:t>
            </w:r>
            <w:r>
              <w:rPr>
                <w:vertAlign w:val="superscript"/>
                <w:lang w:val="uk-UA"/>
              </w:rPr>
              <w:t>3</w:t>
            </w:r>
          </w:p>
        </w:tc>
      </w:tr>
      <w:tr w:rsidR="00675671" w:rsidTr="00675671">
        <w:trPr>
          <w:cantSplit/>
          <w:trHeight w:val="70"/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rPr>
                <w:lang w:val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rPr>
                <w:lang w:val="uk-UA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rPr>
                <w:lang w:val="uk-UA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середньодобова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середньорічна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rPr>
                <w:vertAlign w:val="superscript"/>
                <w:lang w:val="uk-UA"/>
              </w:rPr>
            </w:pPr>
          </w:p>
        </w:tc>
      </w:tr>
      <w:tr w:rsidR="00675671" w:rsidTr="00675671">
        <w:trPr>
          <w:cantSplit/>
          <w:trHeight w:val="70"/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rPr>
                <w:lang w:val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rPr>
                <w:lang w:val="uk-UA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rPr>
                <w:lang w:val="uk-UA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м</w:t>
            </w:r>
            <w:r>
              <w:rPr>
                <w:vertAlign w:val="superscript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кг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71" w:rsidRDefault="00675671">
            <w:pPr>
              <w:rPr>
                <w:vertAlign w:val="superscript"/>
                <w:lang w:val="uk-UA"/>
              </w:rPr>
            </w:pP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Житлові будинки  багатоквартирні упорядковані  (газ, центральне опалення, водопровід, каналізація)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мешканець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rPr>
                <w:lang w:val="en-US"/>
              </w:rPr>
            </w:pPr>
            <w:r>
              <w:rPr>
                <w:lang w:val="uk-UA"/>
              </w:rPr>
              <w:t xml:space="preserve">  3,</w:t>
            </w:r>
            <w:r>
              <w:rPr>
                <w:lang w:val="en-US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0,748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273,00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210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Житлові будинки  індивідуальної забудови (без урахування відходів із присадибної ділянки):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 газовим опаленням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мешканець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en-US"/>
              </w:rPr>
            </w:pPr>
            <w:r>
              <w:rPr>
                <w:lang w:val="uk-UA"/>
              </w:rPr>
              <w:t>4,</w:t>
            </w:r>
            <w:r>
              <w:rPr>
                <w:lang w:val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0,844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220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 пічним опаленням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мешканець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en-US"/>
              </w:rPr>
              <w:t>332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2</w:t>
            </w:r>
            <w:r>
              <w:rPr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Лікувально-профілактичні установи: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лікарні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0,274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0,555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180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поліклініки</w:t>
            </w:r>
          </w:p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відвідування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170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Заклади дошкільної освіти</w:t>
            </w:r>
          </w:p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0,319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210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Адміністративні та громадські організації і установи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робоче місце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0,274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180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Навчальні заклади: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заклади загальної середньої освіти, початкові школи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учень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0,091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190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вище професійне училище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учень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0,418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190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Підприємства торгівлі: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промтоварні крамниці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 м</w:t>
            </w:r>
            <w:r>
              <w:rPr>
                <w:vertAlign w:val="superscript"/>
                <w:lang w:val="uk-UA"/>
              </w:rPr>
              <w:t>2</w:t>
            </w:r>
            <w:r>
              <w:rPr>
                <w:lang w:val="uk-UA"/>
              </w:rPr>
              <w:t xml:space="preserve">  торгівельної площі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180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продовольчі крамниці</w:t>
            </w:r>
          </w:p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 м</w:t>
            </w:r>
            <w:r>
              <w:rPr>
                <w:vertAlign w:val="superscript"/>
                <w:lang w:val="uk-UA"/>
              </w:rPr>
              <w:t>2</w:t>
            </w:r>
            <w:r>
              <w:rPr>
                <w:lang w:val="uk-UA"/>
              </w:rPr>
              <w:t xml:space="preserve">  торгівельної площі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190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видовищні установи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190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Підприємства побутового обслуговування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робоче місце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Автовокзал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  <w:r>
              <w:rPr>
                <w:vertAlign w:val="superscript"/>
                <w:lang w:val="uk-UA"/>
              </w:rPr>
              <w:t xml:space="preserve">2 </w:t>
            </w:r>
            <w:r>
              <w:rPr>
                <w:lang w:val="uk-UA"/>
              </w:rPr>
              <w:t>площі для пасажирів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0,344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190</w:t>
            </w:r>
          </w:p>
        </w:tc>
      </w:tr>
      <w:tr w:rsidR="00675671" w:rsidTr="006756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Підприємства громадського харчування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0,527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71" w:rsidRDefault="00675671">
            <w:pPr>
              <w:tabs>
                <w:tab w:val="left" w:pos="112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</w:tr>
    </w:tbl>
    <w:p w:rsidR="00675671" w:rsidRDefault="00675671" w:rsidP="00675671">
      <w:pPr>
        <w:tabs>
          <w:tab w:val="left" w:pos="1125"/>
        </w:tabs>
        <w:ind w:left="1320" w:hanging="1320"/>
        <w:jc w:val="both"/>
        <w:rPr>
          <w:lang w:val="uk-UA"/>
        </w:rPr>
      </w:pPr>
    </w:p>
    <w:p w:rsidR="00675671" w:rsidRDefault="00675671" w:rsidP="00675671">
      <w:pPr>
        <w:tabs>
          <w:tab w:val="left" w:pos="1125"/>
        </w:tabs>
        <w:ind w:left="1320" w:hanging="1320"/>
        <w:jc w:val="both"/>
        <w:rPr>
          <w:lang w:val="uk-UA"/>
        </w:rPr>
      </w:pPr>
      <w:r>
        <w:rPr>
          <w:lang w:val="uk-UA"/>
        </w:rPr>
        <w:t>Примітки. 1. Норми  встановлені в одиницях об'єму (л і м</w:t>
      </w:r>
      <w:r>
        <w:rPr>
          <w:vertAlign w:val="superscript"/>
          <w:lang w:val="uk-UA"/>
        </w:rPr>
        <w:t>3</w:t>
      </w:r>
      <w:r>
        <w:rPr>
          <w:lang w:val="uk-UA"/>
        </w:rPr>
        <w:t>) з перерахунком в одиниці ваги      (кг) при  використанні показників щільності (кг/м</w:t>
      </w:r>
      <w:r>
        <w:rPr>
          <w:vertAlign w:val="superscript"/>
          <w:lang w:val="uk-UA"/>
        </w:rPr>
        <w:t>3</w:t>
      </w:r>
      <w:r>
        <w:rPr>
          <w:lang w:val="uk-UA"/>
        </w:rPr>
        <w:t>);</w:t>
      </w:r>
    </w:p>
    <w:p w:rsidR="00675671" w:rsidRDefault="00675671" w:rsidP="00675671">
      <w:pPr>
        <w:tabs>
          <w:tab w:val="left" w:pos="1125"/>
        </w:tabs>
        <w:ind w:left="1320" w:hanging="960"/>
        <w:jc w:val="both"/>
        <w:rPr>
          <w:lang w:val="uk-UA"/>
        </w:rPr>
      </w:pPr>
      <w:r>
        <w:rPr>
          <w:lang w:val="uk-UA"/>
        </w:rPr>
        <w:t xml:space="preserve">            2.  Коефіцієнти для орієнтовного перерахунку маси відходів (в т) в їх об'єм (в м</w:t>
      </w:r>
      <w:r>
        <w:rPr>
          <w:vertAlign w:val="superscript"/>
          <w:lang w:val="uk-UA"/>
        </w:rPr>
        <w:t>3</w:t>
      </w:r>
      <w:r>
        <w:rPr>
          <w:lang w:val="uk-UA"/>
        </w:rPr>
        <w:t>)   складають: для відходів житлового сектору  - 5,0; для всіх інших організацій та установ  - 4,0...6,0;</w:t>
      </w:r>
    </w:p>
    <w:p w:rsidR="00675671" w:rsidRDefault="00675671" w:rsidP="00675671">
      <w:pPr>
        <w:tabs>
          <w:tab w:val="left" w:pos="1125"/>
        </w:tabs>
        <w:ind w:left="1320" w:hanging="1200"/>
        <w:jc w:val="both"/>
        <w:rPr>
          <w:lang w:val="uk-UA"/>
        </w:rPr>
      </w:pPr>
      <w:r>
        <w:rPr>
          <w:lang w:val="uk-UA"/>
        </w:rPr>
        <w:t xml:space="preserve">                 3. Кількість днів утворення відходів на об'єктах протягом року прийнята: при 2-х   вихідних днях тижня (об'єкти за </w:t>
      </w:r>
      <w:proofErr w:type="spellStart"/>
      <w:r>
        <w:rPr>
          <w:lang w:val="uk-UA"/>
        </w:rPr>
        <w:t>пп</w:t>
      </w:r>
      <w:proofErr w:type="spellEnd"/>
      <w:r>
        <w:rPr>
          <w:lang w:val="uk-UA"/>
        </w:rPr>
        <w:t xml:space="preserve">. 4, 5, 6) – 250; при 1-му (об'єкти за </w:t>
      </w:r>
      <w:proofErr w:type="spellStart"/>
      <w:r>
        <w:rPr>
          <w:lang w:val="uk-UA"/>
        </w:rPr>
        <w:t>пп</w:t>
      </w:r>
      <w:proofErr w:type="spellEnd"/>
      <w:r>
        <w:rPr>
          <w:lang w:val="uk-UA"/>
        </w:rPr>
        <w:t>. 3.2, 7.1, 7.2, 8, 10) – 300; без вихідних  (всі інші об'єкти) – 365.</w:t>
      </w:r>
    </w:p>
    <w:p w:rsidR="00675671" w:rsidRDefault="00675671" w:rsidP="00675671">
      <w:pPr>
        <w:tabs>
          <w:tab w:val="left" w:pos="1125"/>
        </w:tabs>
        <w:ind w:left="1320" w:hanging="1200"/>
        <w:jc w:val="both"/>
        <w:rPr>
          <w:lang w:val="uk-UA"/>
        </w:rPr>
      </w:pPr>
      <w:r>
        <w:rPr>
          <w:lang w:val="uk-UA"/>
        </w:rPr>
        <w:tab/>
        <w:t>4. Обсяги утворення ТПВ на об</w:t>
      </w:r>
      <w:r>
        <w:rPr>
          <w:lang w:val="en-US"/>
        </w:rPr>
        <w:t>’</w:t>
      </w:r>
      <w:proofErr w:type="spellStart"/>
      <w:r>
        <w:rPr>
          <w:lang w:val="uk-UA"/>
        </w:rPr>
        <w:t>єктах</w:t>
      </w:r>
      <w:proofErr w:type="spellEnd"/>
      <w:r>
        <w:rPr>
          <w:lang w:val="uk-UA"/>
        </w:rPr>
        <w:t xml:space="preserve"> невиробничої сфери, упорядкованих </w:t>
      </w:r>
      <w:proofErr w:type="spellStart"/>
      <w:r>
        <w:rPr>
          <w:lang w:val="uk-UA"/>
        </w:rPr>
        <w:t>стацiонарними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смiттєзбiрниками</w:t>
      </w:r>
      <w:proofErr w:type="spellEnd"/>
      <w:r>
        <w:rPr>
          <w:lang w:val="uk-UA"/>
        </w:rPr>
        <w:t xml:space="preserve"> або яких немає у </w:t>
      </w:r>
      <w:proofErr w:type="spellStart"/>
      <w:r>
        <w:rPr>
          <w:lang w:val="uk-UA"/>
        </w:rPr>
        <w:t>перелiку</w:t>
      </w:r>
      <w:proofErr w:type="spellEnd"/>
      <w:r>
        <w:rPr>
          <w:lang w:val="uk-UA"/>
        </w:rPr>
        <w:t xml:space="preserve">, визначаються </w:t>
      </w:r>
      <w:proofErr w:type="spellStart"/>
      <w:r>
        <w:rPr>
          <w:lang w:val="uk-UA"/>
        </w:rPr>
        <w:t>згiдно</w:t>
      </w:r>
      <w:proofErr w:type="spellEnd"/>
      <w:r>
        <w:rPr>
          <w:lang w:val="uk-UA"/>
        </w:rPr>
        <w:t xml:space="preserve"> з фактичним накопиченням </w:t>
      </w:r>
      <w:proofErr w:type="spellStart"/>
      <w:r>
        <w:rPr>
          <w:lang w:val="uk-UA"/>
        </w:rPr>
        <w:t>вiдходiв</w:t>
      </w:r>
      <w:proofErr w:type="spellEnd"/>
      <w:r>
        <w:rPr>
          <w:lang w:val="uk-UA"/>
        </w:rPr>
        <w:t>.</w:t>
      </w:r>
    </w:p>
    <w:p w:rsidR="00675671" w:rsidRDefault="00675671" w:rsidP="00675671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675671" w:rsidRDefault="00675671" w:rsidP="00675671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675671" w:rsidRDefault="00675671" w:rsidP="00675671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675671" w:rsidRDefault="00675671" w:rsidP="00675671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675671" w:rsidRDefault="00675671" w:rsidP="00675671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В.Іщук</w:t>
      </w:r>
      <w:proofErr w:type="spellEnd"/>
    </w:p>
    <w:p w:rsidR="004B6FBB" w:rsidRPr="00675671" w:rsidRDefault="004B6FBB" w:rsidP="00675671"/>
    <w:sectPr w:rsidR="004B6FBB" w:rsidRPr="00675671" w:rsidSect="00581617">
      <w:headerReference w:type="even" r:id="rId8"/>
      <w:headerReference w:type="default" r:id="rId9"/>
      <w:pgSz w:w="11907" w:h="16840" w:code="9"/>
      <w:pgMar w:top="426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823" w:rsidRDefault="003A3823">
      <w:r>
        <w:separator/>
      </w:r>
    </w:p>
  </w:endnote>
  <w:endnote w:type="continuationSeparator" w:id="0">
    <w:p w:rsidR="003A3823" w:rsidRDefault="003A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823" w:rsidRDefault="003A3823">
      <w:r>
        <w:separator/>
      </w:r>
    </w:p>
  </w:footnote>
  <w:footnote w:type="continuationSeparator" w:id="0">
    <w:p w:rsidR="003A3823" w:rsidRDefault="003A3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98" w:rsidRDefault="00A05E98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5E98" w:rsidRDefault="00A05E9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98" w:rsidRDefault="00A05E98" w:rsidP="00DA4699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" w15:restartNumberingAfterBreak="0">
    <w:nsid w:val="6B0915AD"/>
    <w:multiLevelType w:val="hybridMultilevel"/>
    <w:tmpl w:val="A4D2B176"/>
    <w:lvl w:ilvl="0" w:tplc="D284CF3A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4250B31"/>
    <w:multiLevelType w:val="hybridMultilevel"/>
    <w:tmpl w:val="2D2EA78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E75"/>
    <w:rsid w:val="00003545"/>
    <w:rsid w:val="000253B2"/>
    <w:rsid w:val="00026C9E"/>
    <w:rsid w:val="0003098F"/>
    <w:rsid w:val="000315AB"/>
    <w:rsid w:val="000352CF"/>
    <w:rsid w:val="0003705B"/>
    <w:rsid w:val="00043217"/>
    <w:rsid w:val="00052E3F"/>
    <w:rsid w:val="00057277"/>
    <w:rsid w:val="000747DF"/>
    <w:rsid w:val="00077D84"/>
    <w:rsid w:val="00092E51"/>
    <w:rsid w:val="00093174"/>
    <w:rsid w:val="000A48FE"/>
    <w:rsid w:val="000C21D1"/>
    <w:rsid w:val="000D40E1"/>
    <w:rsid w:val="000D69B4"/>
    <w:rsid w:val="000F273B"/>
    <w:rsid w:val="000F5909"/>
    <w:rsid w:val="00123F7A"/>
    <w:rsid w:val="001525A2"/>
    <w:rsid w:val="00161AFF"/>
    <w:rsid w:val="001763A2"/>
    <w:rsid w:val="00192E80"/>
    <w:rsid w:val="00195C05"/>
    <w:rsid w:val="001A20C2"/>
    <w:rsid w:val="001E20E5"/>
    <w:rsid w:val="001F55C6"/>
    <w:rsid w:val="002021A3"/>
    <w:rsid w:val="0022331E"/>
    <w:rsid w:val="00224089"/>
    <w:rsid w:val="00236907"/>
    <w:rsid w:val="00253B9E"/>
    <w:rsid w:val="00270E4F"/>
    <w:rsid w:val="00282E94"/>
    <w:rsid w:val="00284E78"/>
    <w:rsid w:val="0029111E"/>
    <w:rsid w:val="00291171"/>
    <w:rsid w:val="00293E39"/>
    <w:rsid w:val="002C5FD6"/>
    <w:rsid w:val="002D2832"/>
    <w:rsid w:val="00313259"/>
    <w:rsid w:val="00324E7B"/>
    <w:rsid w:val="00330BC2"/>
    <w:rsid w:val="00336499"/>
    <w:rsid w:val="00337141"/>
    <w:rsid w:val="003543CC"/>
    <w:rsid w:val="00357809"/>
    <w:rsid w:val="00364725"/>
    <w:rsid w:val="00365F2E"/>
    <w:rsid w:val="00371D72"/>
    <w:rsid w:val="00385A72"/>
    <w:rsid w:val="00393296"/>
    <w:rsid w:val="003A0D0C"/>
    <w:rsid w:val="003A3823"/>
    <w:rsid w:val="003A390D"/>
    <w:rsid w:val="003B6EBD"/>
    <w:rsid w:val="003D0282"/>
    <w:rsid w:val="003E0393"/>
    <w:rsid w:val="003E28AA"/>
    <w:rsid w:val="003E57A5"/>
    <w:rsid w:val="003E58FC"/>
    <w:rsid w:val="00403867"/>
    <w:rsid w:val="00424AB7"/>
    <w:rsid w:val="00425CBF"/>
    <w:rsid w:val="00431631"/>
    <w:rsid w:val="00431CD2"/>
    <w:rsid w:val="0044540B"/>
    <w:rsid w:val="00450580"/>
    <w:rsid w:val="004511A4"/>
    <w:rsid w:val="0045288B"/>
    <w:rsid w:val="004555D7"/>
    <w:rsid w:val="004A04FD"/>
    <w:rsid w:val="004A7B61"/>
    <w:rsid w:val="004B6FBB"/>
    <w:rsid w:val="004C10B9"/>
    <w:rsid w:val="004E6849"/>
    <w:rsid w:val="004F41D3"/>
    <w:rsid w:val="00533C5B"/>
    <w:rsid w:val="00545CBD"/>
    <w:rsid w:val="00553CEF"/>
    <w:rsid w:val="005559FF"/>
    <w:rsid w:val="005634CF"/>
    <w:rsid w:val="00581617"/>
    <w:rsid w:val="00586AB3"/>
    <w:rsid w:val="00587818"/>
    <w:rsid w:val="005957DA"/>
    <w:rsid w:val="00595F30"/>
    <w:rsid w:val="005A69CB"/>
    <w:rsid w:val="005D01CD"/>
    <w:rsid w:val="005D69B3"/>
    <w:rsid w:val="005E4961"/>
    <w:rsid w:val="005F1802"/>
    <w:rsid w:val="0064324C"/>
    <w:rsid w:val="00646A13"/>
    <w:rsid w:val="00661CF3"/>
    <w:rsid w:val="006659E6"/>
    <w:rsid w:val="006711C1"/>
    <w:rsid w:val="00675671"/>
    <w:rsid w:val="006773BD"/>
    <w:rsid w:val="00682F2A"/>
    <w:rsid w:val="0068674B"/>
    <w:rsid w:val="006B1E7B"/>
    <w:rsid w:val="006B586B"/>
    <w:rsid w:val="006F385A"/>
    <w:rsid w:val="00710238"/>
    <w:rsid w:val="0072254C"/>
    <w:rsid w:val="00744EDF"/>
    <w:rsid w:val="007451FC"/>
    <w:rsid w:val="007500BC"/>
    <w:rsid w:val="00772053"/>
    <w:rsid w:val="00785548"/>
    <w:rsid w:val="00797E0A"/>
    <w:rsid w:val="007E7686"/>
    <w:rsid w:val="007F31A2"/>
    <w:rsid w:val="007F7FFA"/>
    <w:rsid w:val="00817498"/>
    <w:rsid w:val="00820759"/>
    <w:rsid w:val="00822402"/>
    <w:rsid w:val="008236C3"/>
    <w:rsid w:val="00845BBB"/>
    <w:rsid w:val="00860F99"/>
    <w:rsid w:val="00872590"/>
    <w:rsid w:val="008746C8"/>
    <w:rsid w:val="00874912"/>
    <w:rsid w:val="00884E5C"/>
    <w:rsid w:val="008878E9"/>
    <w:rsid w:val="0089320B"/>
    <w:rsid w:val="008A1BEF"/>
    <w:rsid w:val="008A6880"/>
    <w:rsid w:val="008A6A04"/>
    <w:rsid w:val="008B76F2"/>
    <w:rsid w:val="008E7B4A"/>
    <w:rsid w:val="008F7DDF"/>
    <w:rsid w:val="0090156A"/>
    <w:rsid w:val="00904F1C"/>
    <w:rsid w:val="009214F3"/>
    <w:rsid w:val="00925F00"/>
    <w:rsid w:val="009373DF"/>
    <w:rsid w:val="00961219"/>
    <w:rsid w:val="009633AF"/>
    <w:rsid w:val="00971C42"/>
    <w:rsid w:val="009A15CE"/>
    <w:rsid w:val="009B02D8"/>
    <w:rsid w:val="009B7A71"/>
    <w:rsid w:val="009B7CE0"/>
    <w:rsid w:val="009C67CD"/>
    <w:rsid w:val="009E40A4"/>
    <w:rsid w:val="00A004E1"/>
    <w:rsid w:val="00A010DD"/>
    <w:rsid w:val="00A05E98"/>
    <w:rsid w:val="00A91B47"/>
    <w:rsid w:val="00AC3B54"/>
    <w:rsid w:val="00AC531F"/>
    <w:rsid w:val="00AD7E16"/>
    <w:rsid w:val="00AE0C3B"/>
    <w:rsid w:val="00AE7458"/>
    <w:rsid w:val="00AF3225"/>
    <w:rsid w:val="00B06CE7"/>
    <w:rsid w:val="00B303EC"/>
    <w:rsid w:val="00B332C0"/>
    <w:rsid w:val="00B35B7F"/>
    <w:rsid w:val="00B50F78"/>
    <w:rsid w:val="00B63516"/>
    <w:rsid w:val="00B90E16"/>
    <w:rsid w:val="00B92049"/>
    <w:rsid w:val="00B95203"/>
    <w:rsid w:val="00BA01C1"/>
    <w:rsid w:val="00BA5B41"/>
    <w:rsid w:val="00BB3C4A"/>
    <w:rsid w:val="00BB760F"/>
    <w:rsid w:val="00BC3B33"/>
    <w:rsid w:val="00BC510C"/>
    <w:rsid w:val="00BD3B00"/>
    <w:rsid w:val="00BE1238"/>
    <w:rsid w:val="00C1515F"/>
    <w:rsid w:val="00C24F2F"/>
    <w:rsid w:val="00C25275"/>
    <w:rsid w:val="00C27AE3"/>
    <w:rsid w:val="00C406FD"/>
    <w:rsid w:val="00C41647"/>
    <w:rsid w:val="00C57A7A"/>
    <w:rsid w:val="00C95DB2"/>
    <w:rsid w:val="00C96DDF"/>
    <w:rsid w:val="00CB1656"/>
    <w:rsid w:val="00CB30EB"/>
    <w:rsid w:val="00CD1A8D"/>
    <w:rsid w:val="00CD27E9"/>
    <w:rsid w:val="00CE7246"/>
    <w:rsid w:val="00CF122E"/>
    <w:rsid w:val="00CF2BBE"/>
    <w:rsid w:val="00CF2F3F"/>
    <w:rsid w:val="00D11D0B"/>
    <w:rsid w:val="00D15021"/>
    <w:rsid w:val="00D17229"/>
    <w:rsid w:val="00D50483"/>
    <w:rsid w:val="00D53CA2"/>
    <w:rsid w:val="00D63B4C"/>
    <w:rsid w:val="00DA4699"/>
    <w:rsid w:val="00DC7F8E"/>
    <w:rsid w:val="00DE2442"/>
    <w:rsid w:val="00E0366B"/>
    <w:rsid w:val="00E046B3"/>
    <w:rsid w:val="00E1035E"/>
    <w:rsid w:val="00E11C80"/>
    <w:rsid w:val="00E32BE8"/>
    <w:rsid w:val="00E43D11"/>
    <w:rsid w:val="00E4590B"/>
    <w:rsid w:val="00E65CDB"/>
    <w:rsid w:val="00E660A6"/>
    <w:rsid w:val="00E73908"/>
    <w:rsid w:val="00E759D0"/>
    <w:rsid w:val="00E838B8"/>
    <w:rsid w:val="00E842E7"/>
    <w:rsid w:val="00E96D64"/>
    <w:rsid w:val="00EA6E75"/>
    <w:rsid w:val="00EB1668"/>
    <w:rsid w:val="00EB3C6D"/>
    <w:rsid w:val="00EB556A"/>
    <w:rsid w:val="00EC2403"/>
    <w:rsid w:val="00EC3E8F"/>
    <w:rsid w:val="00EC5047"/>
    <w:rsid w:val="00ED1859"/>
    <w:rsid w:val="00EE0996"/>
    <w:rsid w:val="00EE61D2"/>
    <w:rsid w:val="00EF1323"/>
    <w:rsid w:val="00EF50A2"/>
    <w:rsid w:val="00F011FD"/>
    <w:rsid w:val="00F16FCA"/>
    <w:rsid w:val="00F201BE"/>
    <w:rsid w:val="00F300DB"/>
    <w:rsid w:val="00F32CA2"/>
    <w:rsid w:val="00F52E42"/>
    <w:rsid w:val="00F635BD"/>
    <w:rsid w:val="00F67E3A"/>
    <w:rsid w:val="00F83482"/>
    <w:rsid w:val="00F86542"/>
    <w:rsid w:val="00FA2A30"/>
    <w:rsid w:val="00FB2EB3"/>
    <w:rsid w:val="00FD1299"/>
    <w:rsid w:val="00FE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7DBFFA"/>
  <w15:chartTrackingRefBased/>
  <w15:docId w15:val="{1A48C26F-2D00-490F-8452-3F3627A2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EA6E7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612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151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rsid w:val="00BE1238"/>
    <w:rPr>
      <w:color w:val="0000FF"/>
      <w:u w:val="single"/>
    </w:rPr>
  </w:style>
  <w:style w:type="paragraph" w:styleId="aa">
    <w:name w:val="Balloon Text"/>
    <w:basedOn w:val="a"/>
    <w:link w:val="ab"/>
    <w:rsid w:val="004C10B9"/>
    <w:rPr>
      <w:rFonts w:ascii="Segoe UI" w:hAnsi="Segoe UI"/>
      <w:sz w:val="18"/>
      <w:szCs w:val="18"/>
      <w:lang w:val="x-none" w:eastAsia="x-none"/>
    </w:rPr>
  </w:style>
  <w:style w:type="character" w:customStyle="1" w:styleId="ab">
    <w:name w:val="Текст у виносці Знак"/>
    <w:link w:val="aa"/>
    <w:rsid w:val="004C10B9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F86542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99"/>
    <w:qFormat/>
    <w:rsid w:val="00F86542"/>
    <w:pPr>
      <w:ind w:left="720"/>
      <w:contextualSpacing/>
    </w:pPr>
    <w:rPr>
      <w:lang w:val="uk-UA"/>
    </w:rPr>
  </w:style>
  <w:style w:type="character" w:customStyle="1" w:styleId="10">
    <w:name w:val="Заголовок 1 Знак"/>
    <w:link w:val="1"/>
    <w:rsid w:val="0096121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C1515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2730</Words>
  <Characters>1557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Protocol</dc:creator>
  <cp:keywords/>
  <cp:lastModifiedBy>Serhii</cp:lastModifiedBy>
  <cp:revision>5</cp:revision>
  <cp:lastPrinted>2019-08-13T08:51:00Z</cp:lastPrinted>
  <dcterms:created xsi:type="dcterms:W3CDTF">2019-08-14T06:57:00Z</dcterms:created>
  <dcterms:modified xsi:type="dcterms:W3CDTF">2019-10-24T11:37:00Z</dcterms:modified>
</cp:coreProperties>
</file>