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89" w:rsidRDefault="00D06289" w:rsidP="00D06289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419100" cy="6096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289" w:rsidRDefault="00D06289" w:rsidP="00D06289">
      <w:pPr>
        <w:pStyle w:val="a5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D06289" w:rsidRDefault="00D06289" w:rsidP="00D06289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color w:val="212121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ЛОК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ниць</w:t>
      </w:r>
      <w:r>
        <w:rPr>
          <w:rFonts w:ascii="Times New Roman" w:hAnsi="Times New Roman" w:cs="Times New Roman"/>
          <w:b/>
          <w:bCs/>
          <w:caps/>
          <w:color w:val="212121"/>
          <w:spacing w:val="-4"/>
          <w:sz w:val="28"/>
          <w:szCs w:val="28"/>
        </w:rPr>
        <w:t>ка   сільська   рада</w:t>
      </w:r>
    </w:p>
    <w:p w:rsidR="00D06289" w:rsidRDefault="00D06289" w:rsidP="00D06289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color w:val="212121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ЗАРІЧ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ненського   </w:t>
      </w:r>
      <w:r>
        <w:rPr>
          <w:rFonts w:ascii="Times New Roman" w:hAnsi="Times New Roman" w:cs="Times New Roman"/>
          <w:b/>
          <w:bCs/>
          <w:caps/>
          <w:color w:val="212121"/>
          <w:sz w:val="28"/>
          <w:szCs w:val="28"/>
        </w:rPr>
        <w:t xml:space="preserve">району   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Рівне</w:t>
      </w:r>
      <w:r>
        <w:rPr>
          <w:rFonts w:ascii="Times New Roman" w:hAnsi="Times New Roman" w:cs="Times New Roman"/>
          <w:b/>
          <w:bCs/>
          <w:caps/>
          <w:color w:val="212121"/>
          <w:sz w:val="28"/>
          <w:szCs w:val="28"/>
        </w:rPr>
        <w:t xml:space="preserve">нської    </w:t>
      </w:r>
      <w:r>
        <w:rPr>
          <w:rFonts w:ascii="Times New Roman" w:hAnsi="Times New Roman" w:cs="Times New Roman"/>
          <w:b/>
          <w:bCs/>
          <w:caps/>
          <w:color w:val="212121"/>
          <w:spacing w:val="-4"/>
          <w:sz w:val="28"/>
          <w:szCs w:val="28"/>
        </w:rPr>
        <w:t>області</w:t>
      </w:r>
    </w:p>
    <w:p w:rsidR="00D06289" w:rsidRDefault="00D06289" w:rsidP="00D062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B462C5">
        <w:rPr>
          <w:rFonts w:ascii="Times New Roman" w:hAnsi="Times New Roman" w:cs="Times New Roman"/>
          <w:b/>
          <w:sz w:val="24"/>
          <w:szCs w:val="24"/>
          <w:lang w:val="uk-UA"/>
        </w:rPr>
        <w:t>перше</w:t>
      </w:r>
      <w:proofErr w:type="gramEnd"/>
      <w:r w:rsidRPr="00B462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62C5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06289" w:rsidRDefault="00D06289" w:rsidP="00D062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289" w:rsidRDefault="00D06289" w:rsidP="00D062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289" w:rsidRDefault="00D06289" w:rsidP="00D062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D06289" w:rsidRDefault="00D06289" w:rsidP="00D0628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6289" w:rsidRPr="00B462C5" w:rsidRDefault="00D06289" w:rsidP="00D062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2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61">
        <w:rPr>
          <w:rFonts w:ascii="Times New Roman" w:hAnsi="Times New Roman" w:cs="Times New Roman"/>
          <w:b/>
          <w:sz w:val="24"/>
          <w:szCs w:val="24"/>
        </w:rPr>
        <w:t>2</w:t>
      </w:r>
      <w:r w:rsidRPr="00A521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0 </w:t>
      </w:r>
      <w:proofErr w:type="spellStart"/>
      <w:r w:rsidRPr="00A52161">
        <w:rPr>
          <w:rFonts w:ascii="Times New Roman" w:hAnsi="Times New Roman" w:cs="Times New Roman"/>
          <w:b/>
          <w:sz w:val="24"/>
          <w:szCs w:val="24"/>
          <w:lang w:val="uk-UA"/>
        </w:rPr>
        <w:t>берез</w:t>
      </w:r>
      <w:r w:rsidRPr="00A52161">
        <w:rPr>
          <w:rFonts w:ascii="Times New Roman" w:hAnsi="Times New Roman" w:cs="Times New Roman"/>
          <w:b/>
          <w:sz w:val="24"/>
          <w:szCs w:val="24"/>
        </w:rPr>
        <w:t>ня</w:t>
      </w:r>
      <w:proofErr w:type="spellEnd"/>
      <w:r w:rsidRPr="00A52161">
        <w:rPr>
          <w:rFonts w:ascii="Times New Roman" w:hAnsi="Times New Roman" w:cs="Times New Roman"/>
          <w:b/>
          <w:sz w:val="24"/>
          <w:szCs w:val="24"/>
        </w:rPr>
        <w:t xml:space="preserve">   201</w:t>
      </w:r>
      <w:r w:rsidRPr="00A521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8 </w:t>
      </w:r>
      <w:r w:rsidRPr="00A52161">
        <w:rPr>
          <w:rFonts w:ascii="Times New Roman" w:hAnsi="Times New Roman" w:cs="Times New Roman"/>
          <w:b/>
          <w:sz w:val="24"/>
          <w:szCs w:val="24"/>
        </w:rPr>
        <w:t>року                                                                      №</w:t>
      </w:r>
      <w:r w:rsidRPr="00B462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1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337</w:t>
      </w:r>
      <w:r w:rsidRPr="00B462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D06289" w:rsidRPr="00B462C5" w:rsidRDefault="00D06289" w:rsidP="00D0628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D06289" w:rsidRDefault="00D06289" w:rsidP="00D06289">
      <w:pPr>
        <w:autoSpaceDE w:val="0"/>
        <w:autoSpaceDN w:val="0"/>
        <w:adjustRightInd w:val="0"/>
        <w:spacing w:after="0"/>
        <w:ind w:left="-709" w:hanging="284"/>
        <w:rPr>
          <w:rFonts w:ascii="Times New Roman" w:hAnsi="Times New Roman" w:cs="Times New Roman"/>
          <w:sz w:val="24"/>
          <w:szCs w:val="24"/>
        </w:rPr>
      </w:pPr>
    </w:p>
    <w:p w:rsidR="00D06289" w:rsidRDefault="00D06289" w:rsidP="00D06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утриманн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я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та </w:t>
      </w:r>
    </w:p>
    <w:p w:rsidR="00D06289" w:rsidRDefault="00D06289" w:rsidP="00D0628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ремонту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автомобільних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</w:p>
    <w:p w:rsidR="00D06289" w:rsidRDefault="00D06289" w:rsidP="00D0628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ісцевого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значення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вулиць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доріг</w:t>
      </w:r>
      <w:proofErr w:type="spellEnd"/>
    </w:p>
    <w:p w:rsidR="00D06289" w:rsidRDefault="00D06289" w:rsidP="00D0628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Локни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цької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сільської</w:t>
      </w:r>
      <w:proofErr w:type="spellEnd"/>
    </w:p>
    <w:p w:rsidR="00D06289" w:rsidRDefault="00D06289" w:rsidP="00D062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 201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  <w:t>ік</w:t>
      </w:r>
      <w:proofErr w:type="spellEnd"/>
    </w:p>
    <w:p w:rsidR="00D06289" w:rsidRDefault="00D06289" w:rsidP="00D062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D06289" w:rsidRDefault="00D06289" w:rsidP="00D0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462C5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підставі </w:t>
      </w:r>
      <w:r w:rsidRPr="00B462C5">
        <w:rPr>
          <w:rFonts w:ascii="Times New Roman" w:hAnsi="Times New Roman" w:cs="Times New Roman"/>
          <w:sz w:val="24"/>
          <w:szCs w:val="24"/>
          <w:lang w:val="uk-UA"/>
        </w:rPr>
        <w:t>пункту 22 частини першої статті 26 Закону України «Про місцеве самоврядування в Україні»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статті 91 Закону України «Про Державний бюджет України», законів України «Про автомобільні дороги», «Про дорожній рух», «Про транспорт», «Про автомобільний транспорт», «Про </w:t>
      </w:r>
      <w:r w:rsidRPr="00B462C5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джерела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462C5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фінансування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дорожнього господарства України» та з метою </w:t>
      </w:r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поліпшення транспортно-експлуатаційного стану мережі доріг місцевого значення та вулиць і доріг комунальної власності </w:t>
      </w:r>
      <w:proofErr w:type="spellStart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Локницької</w:t>
      </w:r>
      <w:proofErr w:type="spellEnd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ради,</w:t>
      </w:r>
      <w:r w:rsidRPr="00B46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покращення автомобільного сполучення </w:t>
      </w:r>
      <w:r w:rsidRPr="00B462C5">
        <w:rPr>
          <w:rFonts w:ascii="Times New Roman" w:hAnsi="Times New Roman" w:cs="Times New Roman"/>
          <w:sz w:val="24"/>
          <w:szCs w:val="24"/>
          <w:lang w:val="uk-UA"/>
        </w:rPr>
        <w:t>сіл сільської ради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>, що сприятиме підвищенню соціально-економічного рівня, залученню нових інвестицій, розвитку діючих підприємств, створенню нових суб'єктів господарської діяльності, забезпечення умов для повноцінного проживання, роботи і відпочинку мешканців громади</w:t>
      </w:r>
      <w:r w:rsidRPr="00B462C5">
        <w:rPr>
          <w:rFonts w:ascii="Times New Roman" w:hAnsi="Times New Roman" w:cs="Times New Roman"/>
          <w:sz w:val="24"/>
          <w:szCs w:val="24"/>
          <w:lang w:val="uk-UA"/>
        </w:rPr>
        <w:t>, за погодженням постійних депутатських комісій, сесія сільської ради</w:t>
      </w:r>
    </w:p>
    <w:p w:rsidR="00B462C5" w:rsidRPr="00B462C5" w:rsidRDefault="00B462C5" w:rsidP="00D062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D06289" w:rsidRPr="00B462C5" w:rsidRDefault="00D06289" w:rsidP="00D062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46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В И Р І Ш И Л А :</w:t>
      </w:r>
      <w:r w:rsidRPr="00B462C5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06289" w:rsidRPr="00B462C5" w:rsidRDefault="00D06289" w:rsidP="00D06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06289" w:rsidRPr="00B462C5" w:rsidRDefault="00D06289" w:rsidP="00D06289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Pr="00B462C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Програму утриманн</w:t>
      </w:r>
      <w:r w:rsidRPr="00B462C5">
        <w:rPr>
          <w:rFonts w:ascii="Times New Roman" w:eastAsia="Times New Roman" w:hAnsi="Times New Roman"/>
          <w:sz w:val="24"/>
          <w:szCs w:val="24"/>
          <w:lang w:val="uk-UA"/>
        </w:rPr>
        <w:t>я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ремонту</w:t>
      </w:r>
      <w:r w:rsidRPr="00B462C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автомобільних доріг </w:t>
      </w:r>
      <w:r w:rsidRPr="00B462C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місцевого значення та вулиць і доріг комунальної власності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>Локни</w:t>
      </w:r>
      <w:r w:rsidRPr="00B462C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цької</w:t>
      </w:r>
      <w:proofErr w:type="spellEnd"/>
      <w:r w:rsidRPr="00B462C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сільської ради на 2018 рік </w:t>
      </w:r>
      <w:r w:rsidRPr="00B462C5">
        <w:rPr>
          <w:rFonts w:ascii="Times New Roman" w:eastAsia="Times New Roman" w:hAnsi="Times New Roman"/>
          <w:sz w:val="24"/>
          <w:szCs w:val="24"/>
          <w:lang w:val="uk-UA"/>
        </w:rPr>
        <w:t>згідно додатку.</w:t>
      </w:r>
    </w:p>
    <w:p w:rsidR="00D06289" w:rsidRPr="00B462C5" w:rsidRDefault="00D06289" w:rsidP="00D062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462C5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462C5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B462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даного </w:t>
      </w:r>
      <w:r w:rsidRPr="00B462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462C5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B462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B462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</w:t>
      </w:r>
      <w:r w:rsidRPr="00B462C5">
        <w:rPr>
          <w:rFonts w:ascii="Times New Roman" w:eastAsia="Times New Roman" w:hAnsi="Times New Roman"/>
          <w:sz w:val="24"/>
          <w:szCs w:val="24"/>
          <w:lang w:val="uk-UA"/>
        </w:rPr>
        <w:t xml:space="preserve">голів постійних комісій </w:t>
      </w:r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сільської</w:t>
      </w:r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</w:t>
      </w:r>
      <w:proofErr w:type="spellStart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</w:t>
      </w:r>
      <w:proofErr w:type="spellEnd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визначених</w:t>
      </w:r>
      <w:proofErr w:type="spellEnd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функцій</w:t>
      </w:r>
      <w:proofErr w:type="spellEnd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</w:rPr>
        <w:t>повноважень</w:t>
      </w:r>
      <w:proofErr w:type="spellEnd"/>
      <w:r w:rsidRPr="00B462C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B462C5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D06289" w:rsidRPr="00B462C5" w:rsidRDefault="00D06289" w:rsidP="00D0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06289" w:rsidRPr="00B462C5" w:rsidRDefault="00D06289" w:rsidP="00D0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06289" w:rsidRPr="00B462C5" w:rsidRDefault="00D06289" w:rsidP="00D06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D06289" w:rsidRDefault="00D06289" w:rsidP="00D06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D06289" w:rsidRDefault="00D06289" w:rsidP="00D0628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Сільський </w:t>
      </w:r>
      <w:r w:rsidRPr="00B462C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голова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                   </w:t>
      </w:r>
      <w:r w:rsidRPr="00B462C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П.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Харковець</w:t>
      </w:r>
      <w:proofErr w:type="spellEnd"/>
    </w:p>
    <w:p w:rsidR="00B462C5" w:rsidRDefault="00B462C5" w:rsidP="00D0628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</w:p>
    <w:p w:rsidR="00B462C5" w:rsidRDefault="00B462C5" w:rsidP="00D0628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</w:p>
    <w:p w:rsidR="00B462C5" w:rsidRPr="00B462C5" w:rsidRDefault="00B462C5" w:rsidP="00D0628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uk-UA"/>
        </w:rPr>
      </w:pPr>
    </w:p>
    <w:p w:rsidR="00B462C5" w:rsidRPr="00B462C5" w:rsidRDefault="00B462C5" w:rsidP="00D0628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uk-UA"/>
        </w:rPr>
      </w:pPr>
    </w:p>
    <w:p w:rsidR="00B462C5" w:rsidRPr="00B462C5" w:rsidRDefault="00B462C5" w:rsidP="00D0628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uk-UA"/>
        </w:rPr>
      </w:pPr>
    </w:p>
    <w:p w:rsidR="006679A9" w:rsidRPr="00B462C5" w:rsidRDefault="006679A9" w:rsidP="006679A9">
      <w:pPr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B462C5">
        <w:rPr>
          <w:rFonts w:ascii="Arial" w:eastAsia="Times New Roman" w:hAnsi="Arial" w:cs="Arial"/>
          <w:sz w:val="24"/>
          <w:szCs w:val="24"/>
          <w:lang w:val="uk-UA" w:eastAsia="ru-RU"/>
        </w:rPr>
        <w:t>Затверджено</w:t>
      </w:r>
    </w:p>
    <w:p w:rsidR="006679A9" w:rsidRPr="00B462C5" w:rsidRDefault="006679A9" w:rsidP="006679A9">
      <w:pPr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u w:val="single"/>
          <w:lang w:val="uk-UA" w:eastAsia="ru-RU"/>
        </w:rPr>
      </w:pPr>
      <w:r w:rsidRPr="00B462C5">
        <w:rPr>
          <w:rFonts w:ascii="Arial" w:eastAsia="Times New Roman" w:hAnsi="Arial" w:cs="Arial"/>
          <w:sz w:val="24"/>
          <w:szCs w:val="24"/>
          <w:lang w:eastAsia="ru-RU"/>
        </w:rPr>
        <w:t> </w:t>
      </w:r>
      <w:hyperlink r:id="rId6" w:history="1">
        <w:r w:rsidRPr="00B462C5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 </w:t>
        </w:r>
        <w:r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 xml:space="preserve">рішенням сесії </w:t>
        </w:r>
        <w:proofErr w:type="spellStart"/>
        <w:r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Локницької</w:t>
        </w:r>
        <w:proofErr w:type="spellEnd"/>
      </w:hyperlink>
    </w:p>
    <w:p w:rsidR="006679A9" w:rsidRPr="00B462C5" w:rsidRDefault="006679A9" w:rsidP="006679A9">
      <w:pPr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B462C5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                                                                                </w:t>
      </w:r>
      <w:hyperlink r:id="rId7" w:history="1">
        <w:r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сільської</w:t>
        </w:r>
        <w:r w:rsidRPr="00B462C5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 </w:t>
        </w:r>
        <w:r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 xml:space="preserve"> ради</w:t>
        </w:r>
        <w:r w:rsidRPr="00B462C5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 </w:t>
        </w:r>
        <w:r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 xml:space="preserve"> </w:t>
        </w:r>
      </w:hyperlink>
    </w:p>
    <w:p w:rsidR="006679A9" w:rsidRPr="00A52161" w:rsidRDefault="00A52161" w:rsidP="006679A9">
      <w:pPr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lang w:val="uk-UA"/>
        </w:rPr>
        <w:t xml:space="preserve">     </w:t>
      </w:r>
      <w:hyperlink r:id="rId8" w:history="1">
        <w:r w:rsidR="006679A9" w:rsidRPr="00A52161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 xml:space="preserve">№ </w:t>
        </w:r>
        <w:r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337</w:t>
        </w:r>
        <w:r w:rsidR="006679A9"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_______</w:t>
        </w:r>
        <w:r w:rsidR="006679A9" w:rsidRPr="00A52161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 xml:space="preserve"> від </w:t>
        </w:r>
        <w:r w:rsidR="006679A9"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20</w:t>
        </w:r>
        <w:r w:rsidR="006679A9" w:rsidRPr="00A52161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.03.201</w:t>
        </w:r>
        <w:r w:rsidR="006679A9" w:rsidRPr="00B462C5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>8</w:t>
        </w:r>
        <w:r w:rsidR="006679A9" w:rsidRPr="00A52161">
          <w:rPr>
            <w:rFonts w:ascii="Arial" w:eastAsia="Times New Roman" w:hAnsi="Arial" w:cs="Arial"/>
            <w:sz w:val="24"/>
            <w:szCs w:val="24"/>
            <w:u w:val="single"/>
            <w:lang w:val="uk-UA" w:eastAsia="ru-RU"/>
          </w:rPr>
          <w:t xml:space="preserve"> року</w:t>
        </w:r>
      </w:hyperlink>
    </w:p>
    <w:p w:rsidR="006679A9" w:rsidRPr="00A52161" w:rsidRDefault="006679A9" w:rsidP="006679A9">
      <w:pPr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B462C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679A9" w:rsidRPr="00A52161" w:rsidRDefault="006679A9" w:rsidP="006679A9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52161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>ПРОГРАМА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52161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>утримання та ремонту автомобільних доріг  місцевого значення та вулиць і доріг комунальної власності</w:t>
      </w:r>
      <w:r w:rsidRPr="00B462C5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>Локни</w:t>
      </w:r>
      <w:r w:rsidRPr="00A52161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>цької</w:t>
      </w:r>
      <w:proofErr w:type="spellEnd"/>
      <w:r w:rsidRPr="00A52161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 xml:space="preserve"> сільської ради</w:t>
      </w:r>
      <w:r w:rsidRPr="00B462C5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A52161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>на 201</w:t>
      </w:r>
      <w:r w:rsidRPr="00B462C5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>8</w:t>
      </w:r>
      <w:r w:rsidRPr="00A52161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 xml:space="preserve"> р</w:t>
      </w:r>
      <w:r w:rsidRPr="00B462C5">
        <w:rPr>
          <w:rFonts w:ascii="Arial" w:eastAsia="Times New Roman" w:hAnsi="Arial" w:cs="Arial"/>
          <w:b/>
          <w:bCs/>
          <w:color w:val="333333"/>
          <w:sz w:val="24"/>
          <w:szCs w:val="24"/>
          <w:lang w:val="uk-UA" w:eastAsia="ru-RU"/>
        </w:rPr>
        <w:t>ік</w:t>
      </w:r>
    </w:p>
    <w:p w:rsidR="006679A9" w:rsidRPr="00A52161" w:rsidRDefault="006679A9" w:rsidP="006679A9">
      <w:pPr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tbl>
      <w:tblPr>
        <w:tblW w:w="91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2422"/>
        <w:gridCol w:w="6095"/>
      </w:tblGrid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апарат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ремонт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Локни</w:t>
            </w: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8 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ік</w:t>
            </w:r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Законодавча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дороги», «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дорожній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«Про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транспорт»,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 р.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198 «Про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ремонту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переїзді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правил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ними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Необхідність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транспортно-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експлуатаційного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транспортно-експлуата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ційного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ind w:left="-1127" w:right="675" w:firstLine="42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ind w:left="-1127" w:right="675" w:firstLine="42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Локницької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доведенням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покриття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міжремонтних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</w:p>
        </w:tc>
      </w:tr>
      <w:tr w:rsidR="006679A9" w:rsidRPr="00B462C5" w:rsidTr="006679A9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заходи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транспортно-експлуатаційного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них,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безперервності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автомобілізації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країни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підвищення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швидкості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безпечності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пасажирів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вантажів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автомобільним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транспортом,    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сільській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місцевості</w:t>
            </w:r>
            <w:proofErr w:type="spellEnd"/>
          </w:p>
        </w:tc>
      </w:tr>
      <w:tr w:rsidR="006679A9" w:rsidRPr="00B462C5" w:rsidTr="006679A9">
        <w:trPr>
          <w:trHeight w:val="42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Строки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</w:t>
            </w:r>
            <w:proofErr w:type="spellStart"/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ік</w:t>
            </w:r>
            <w:proofErr w:type="spellEnd"/>
          </w:p>
        </w:tc>
      </w:tr>
      <w:tr w:rsidR="006679A9" w:rsidRPr="00B462C5" w:rsidTr="006679A9">
        <w:trPr>
          <w:trHeight w:val="84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Фінансове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здійснюється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та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заборонених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чинним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</w:tr>
      <w:tr w:rsidR="006679A9" w:rsidRPr="00B462C5" w:rsidTr="006679A9">
        <w:trPr>
          <w:trHeight w:val="102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00.0 тис. </w:t>
            </w:r>
            <w:proofErr w:type="spellStart"/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9A9" w:rsidRPr="00B462C5" w:rsidTr="006679A9">
        <w:trPr>
          <w:trHeight w:val="57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тому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 тис. </w:t>
            </w:r>
            <w:proofErr w:type="spellStart"/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79A9" w:rsidRPr="00B462C5" w:rsidTr="006679A9">
        <w:trPr>
          <w:trHeight w:val="54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 тис. </w:t>
            </w:r>
            <w:proofErr w:type="spellStart"/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79A9" w:rsidRPr="00B462C5" w:rsidTr="006679A9">
        <w:trPr>
          <w:trHeight w:val="285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позабюджетні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кошти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6679A9" w:rsidRPr="00B462C5" w:rsidTr="006679A9">
        <w:trPr>
          <w:trHeight w:val="555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</w:tr>
    </w:tbl>
    <w:p w:rsidR="006679A9" w:rsidRPr="00B462C5" w:rsidRDefault="006679A9" w:rsidP="006679A9">
      <w:pPr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1.Загальні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положення</w:t>
      </w:r>
      <w:proofErr w:type="spellEnd"/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Мережа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невід'ємною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частиною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роботу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галузей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промисловості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суспільства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Окрім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того,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експлуатацією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забезпечується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івномірний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наземний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району,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надійне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переміщення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людей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ефективністю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однією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ідсистем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вони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суспільним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продуктом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важливе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залежать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вантажів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пасажирів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івень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певною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мірою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зайнятість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економіки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загалом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У свою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чергу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можливостями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івнем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Однак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сьогодні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ідчить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труднощі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зумовлені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недостатнім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дорожньо-ремонтних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порівняно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нормативними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потребами.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Основою для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дороги», «Про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дорожній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транспорт», «Про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постанова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30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березня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1994 р. № 198 «Про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 ремонту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залізничних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переїздів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правил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2.Мета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2.1.Метою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  <w:proofErr w:type="gramEnd"/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позитивно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вплине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іально-економічний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доведенням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міжремонтних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строків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 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поліпшення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транспортно-експлуатаційного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сільській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іально-економічного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Локниц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збільшення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привабливості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ремонту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життєво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важливих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виробництва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ідприємств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шляхів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сполучення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3.Визначення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проблеми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розв’язання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якої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спрямована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Програма</w:t>
      </w:r>
      <w:proofErr w:type="spellEnd"/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3.1.Закон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дороги»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розвитком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поділяються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на: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державного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</w:t>
      </w:r>
      <w:proofErr w:type="spellEnd"/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відомчі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технологічні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приватних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територіях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3.2.Державне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дорогами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агентство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Укравтодор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яке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філії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3.3.Управління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розвитком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</w:t>
      </w:r>
      <w:proofErr w:type="spellEnd"/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віданні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знаходяться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3.4.Протяжність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ння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у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пунктах</w:t>
      </w:r>
      <w:proofErr w:type="gram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кої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становить 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47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км. 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наван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таженням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шляхова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мережа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 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втратила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експлуатаційні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ремонту. Перш за все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викликають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занепокоєння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ділянки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проходять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автобусні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сполучення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ідвезення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невідкладної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3.5.Критеріями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стратегії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до 2018 року,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враховуючи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незадовільний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експлуатаційний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  <w:proofErr w:type="gramEnd"/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пунктами,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центрами;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механізму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державно-приватного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партнерства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співпраця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сільськогосподарськими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4.Перелік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завдань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заходів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4.1.Основними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завданнями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  <w:proofErr w:type="gramEnd"/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досягнення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впорядкування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ради.</w:t>
      </w:r>
    </w:p>
    <w:p w:rsidR="006679A9" w:rsidRPr="00B462C5" w:rsidRDefault="006679A9" w:rsidP="006679A9">
      <w:pPr>
        <w:spacing w:after="150" w:line="240" w:lineRule="auto"/>
        <w:ind w:left="43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5.Очікувані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результати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виконання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5.1.Виконання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існуючої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руйнування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ліквідацію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незадовільних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автотранспорту,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тому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маршрутів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аварійних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ділянках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них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ремонтних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транспортного,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ішохідного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експлуатаційного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виділення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 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ремонт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            5.2.Вирішення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 дозволить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покращити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імідж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об’єднаної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призведе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іально-економічного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в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цілому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поліпшення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клімату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сприятиме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громаду, дозволить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розвиватися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діючим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ідприємствам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повноцінне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роботу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мешканців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безперешкодному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інвалідністю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6.Фінансування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 6.1.Голов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ний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розпорядник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  в межах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6.3.Фінансування 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видатків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сільському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КТКВК 170703 «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Видатки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будівництвом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реконструкцією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ремонтом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  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6.4.Програма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необхідною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ремонту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</w:t>
      </w:r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іг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Доц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ільність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обґрунтованими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Програма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Державного</w:t>
      </w:r>
      <w:proofErr w:type="gram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 та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заборонених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чинним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C535C" w:rsidRPr="00B462C5" w:rsidRDefault="006679A9" w:rsidP="00EC53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Секретар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ради</w:t>
      </w:r>
      <w:proofErr w:type="gram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          </w:t>
      </w:r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І.</w:t>
      </w:r>
      <w:proofErr w:type="gramEnd"/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М.</w:t>
      </w:r>
      <w:proofErr w:type="spellStart"/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Палей</w:t>
      </w:r>
      <w:proofErr w:type="spellEnd"/>
    </w:p>
    <w:p w:rsidR="00EC535C" w:rsidRPr="00B462C5" w:rsidRDefault="00EC535C" w:rsidP="00EC53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535C" w:rsidRPr="00B462C5" w:rsidRDefault="00EC535C" w:rsidP="00EC53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679A9" w:rsidRPr="00B462C5" w:rsidRDefault="00EC535C" w:rsidP="00EC53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 xml:space="preserve">                                                             </w:t>
      </w:r>
      <w:proofErr w:type="spellStart"/>
      <w:r w:rsidR="006679A9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Додаток</w:t>
      </w:r>
      <w:proofErr w:type="spellEnd"/>
      <w:r w:rsidR="006679A9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</w:t>
      </w:r>
    </w:p>
    <w:p w:rsidR="006679A9" w:rsidRPr="00B462C5" w:rsidRDefault="006679A9" w:rsidP="006679A9">
      <w:pPr>
        <w:spacing w:after="150" w:line="240" w:lineRule="auto"/>
        <w:ind w:left="5664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до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 ремонту</w:t>
      </w:r>
    </w:p>
    <w:p w:rsidR="006679A9" w:rsidRPr="00B462C5" w:rsidRDefault="006679A9" w:rsidP="006679A9">
      <w:pPr>
        <w:spacing w:after="150" w:line="240" w:lineRule="auto"/>
        <w:ind w:left="5664"/>
        <w:jc w:val="right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місцевого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значення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дор</w:t>
      </w:r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іг</w:t>
      </w:r>
      <w:proofErr w:type="spellEnd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комунальної</w:t>
      </w:r>
      <w:proofErr w:type="spellEnd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власності</w:t>
      </w:r>
      <w:proofErr w:type="spellEnd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Локни</w:t>
      </w:r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цької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ради</w:t>
      </w:r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</w:t>
      </w:r>
      <w:proofErr w:type="gramEnd"/>
      <w:r w:rsidR="00EC535C" w:rsidRPr="00B462C5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ік</w:t>
      </w:r>
      <w:proofErr w:type="spellEnd"/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Ресурсне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забезпечення</w:t>
      </w:r>
      <w:proofErr w:type="spellEnd"/>
    </w:p>
    <w:p w:rsidR="006679A9" w:rsidRPr="00B462C5" w:rsidRDefault="006679A9" w:rsidP="00EC53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утримання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та ремонту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автомобільних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загального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користування</w:t>
      </w:r>
      <w:proofErr w:type="spellEnd"/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міс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цевого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значення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вулиць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доріг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комунальної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власності</w:t>
      </w:r>
      <w:proofErr w:type="spellEnd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C535C"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цької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ради</w:t>
      </w:r>
      <w:proofErr w:type="gram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6679A9" w:rsidRPr="00B462C5" w:rsidRDefault="006679A9" w:rsidP="006679A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на 2018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</w:t>
      </w:r>
      <w:proofErr w:type="gramEnd"/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ік</w:t>
      </w:r>
      <w:proofErr w:type="spellEnd"/>
    </w:p>
    <w:p w:rsidR="006679A9" w:rsidRPr="00B462C5" w:rsidRDefault="006679A9" w:rsidP="006679A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тис</w:t>
      </w:r>
      <w:proofErr w:type="gram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proofErr w:type="gram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</w:t>
      </w:r>
      <w:proofErr w:type="gram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рн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tbl>
      <w:tblPr>
        <w:tblW w:w="12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4"/>
        <w:gridCol w:w="2497"/>
        <w:gridCol w:w="2509"/>
        <w:gridCol w:w="4515"/>
      </w:tblGrid>
      <w:tr w:rsidR="006679A9" w:rsidRPr="00B462C5" w:rsidTr="006679A9">
        <w:tc>
          <w:tcPr>
            <w:tcW w:w="2760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кошті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які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пропонується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залучити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5100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before="300" w:after="15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Етапи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програми</w:t>
            </w:r>
            <w:proofErr w:type="spellEnd"/>
          </w:p>
          <w:p w:rsidR="006679A9" w:rsidRPr="00B462C5" w:rsidRDefault="006679A9" w:rsidP="006679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EC535C">
            <w:pPr>
              <w:spacing w:after="150" w:line="240" w:lineRule="auto"/>
              <w:ind w:right="30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витрат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</w:tr>
      <w:tr w:rsidR="006679A9" w:rsidRPr="00B462C5" w:rsidTr="006679A9"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6679A9" w:rsidRPr="00B462C5" w:rsidRDefault="006679A9" w:rsidP="00667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EC53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</w:t>
            </w:r>
            <w:proofErr w:type="spellStart"/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6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79A9" w:rsidRPr="00B462C5" w:rsidTr="006679A9">
        <w:tc>
          <w:tcPr>
            <w:tcW w:w="276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679A9" w:rsidRPr="00B462C5" w:rsidRDefault="006679A9" w:rsidP="006679A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EC53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6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EC53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</w:t>
            </w:r>
          </w:p>
        </w:tc>
      </w:tr>
      <w:tr w:rsidR="006679A9" w:rsidRPr="00B462C5" w:rsidTr="006679A9">
        <w:tc>
          <w:tcPr>
            <w:tcW w:w="276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тому</w:t>
            </w:r>
            <w:proofErr w:type="gram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сільський</w:t>
            </w:r>
            <w:proofErr w:type="spellEnd"/>
            <w:r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бюджет:</w:t>
            </w:r>
          </w:p>
        </w:tc>
        <w:tc>
          <w:tcPr>
            <w:tcW w:w="255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6679A9" w:rsidP="006679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EC53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6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79A9" w:rsidRPr="00B462C5" w:rsidRDefault="00A52161" w:rsidP="00EC53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679A9" w:rsidRPr="00B4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</w:t>
            </w:r>
          </w:p>
        </w:tc>
      </w:tr>
    </w:tbl>
    <w:p w:rsidR="006679A9" w:rsidRPr="00B462C5" w:rsidRDefault="006679A9" w:rsidP="006679A9">
      <w:pPr>
        <w:spacing w:after="150" w:line="240" w:lineRule="auto"/>
        <w:ind w:left="3402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679A9" w:rsidRPr="00B462C5" w:rsidRDefault="006679A9" w:rsidP="006679A9">
      <w:pPr>
        <w:spacing w:after="150" w:line="240" w:lineRule="auto"/>
        <w:ind w:left="3402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62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C535C" w:rsidRPr="00B462C5" w:rsidRDefault="00EC535C" w:rsidP="006679A9">
      <w:pPr>
        <w:spacing w:after="150" w:line="240" w:lineRule="auto"/>
        <w:ind w:left="34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C535C" w:rsidRPr="00B462C5" w:rsidRDefault="00EC535C" w:rsidP="006679A9">
      <w:pPr>
        <w:spacing w:after="150" w:line="240" w:lineRule="auto"/>
        <w:ind w:left="34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C535C" w:rsidRPr="00B462C5" w:rsidRDefault="00EC535C" w:rsidP="006679A9">
      <w:pPr>
        <w:spacing w:after="150" w:line="240" w:lineRule="auto"/>
        <w:ind w:left="34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C535C" w:rsidRPr="00B462C5" w:rsidRDefault="00EC535C" w:rsidP="006679A9">
      <w:pPr>
        <w:spacing w:after="150" w:line="240" w:lineRule="auto"/>
        <w:ind w:left="34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679A9" w:rsidRPr="00B462C5" w:rsidRDefault="006679A9" w:rsidP="00EC535C">
      <w:pPr>
        <w:spacing w:after="150" w:line="240" w:lineRule="auto"/>
        <w:ind w:left="28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Секретар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сільської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ради</w:t>
      </w:r>
      <w:proofErr w:type="gramStart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  </w:t>
      </w:r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        </w:t>
      </w:r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     </w:t>
      </w:r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       І.</w:t>
      </w:r>
      <w:proofErr w:type="gramEnd"/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М.</w:t>
      </w:r>
      <w:proofErr w:type="spellStart"/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Палей</w:t>
      </w:r>
      <w:proofErr w:type="spellEnd"/>
      <w:r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      </w:t>
      </w:r>
      <w:r w:rsidR="00EC535C" w:rsidRPr="00B462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            </w:t>
      </w:r>
    </w:p>
    <w:p w:rsidR="00996047" w:rsidRPr="00B462C5" w:rsidRDefault="00996047">
      <w:pPr>
        <w:rPr>
          <w:sz w:val="24"/>
          <w:szCs w:val="24"/>
        </w:rPr>
      </w:pPr>
    </w:p>
    <w:sectPr w:rsidR="00996047" w:rsidRPr="00B462C5" w:rsidSect="0099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3012"/>
    <w:multiLevelType w:val="hybridMultilevel"/>
    <w:tmpl w:val="3716D5CC"/>
    <w:lvl w:ilvl="0" w:tplc="29642F7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9A9"/>
    <w:rsid w:val="006679A9"/>
    <w:rsid w:val="00706C7A"/>
    <w:rsid w:val="007A2800"/>
    <w:rsid w:val="00893359"/>
    <w:rsid w:val="00996047"/>
    <w:rsid w:val="00A52161"/>
    <w:rsid w:val="00B462C5"/>
    <w:rsid w:val="00D06289"/>
    <w:rsid w:val="00EC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47"/>
  </w:style>
  <w:style w:type="paragraph" w:styleId="1">
    <w:name w:val="heading 1"/>
    <w:basedOn w:val="a"/>
    <w:link w:val="10"/>
    <w:uiPriority w:val="9"/>
    <w:qFormat/>
    <w:rsid w:val="006679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9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67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79A9"/>
    <w:rPr>
      <w:color w:val="0000FF"/>
      <w:u w:val="single"/>
    </w:rPr>
  </w:style>
  <w:style w:type="paragraph" w:styleId="a5">
    <w:name w:val="caption"/>
    <w:basedOn w:val="a"/>
    <w:next w:val="a"/>
    <w:uiPriority w:val="99"/>
    <w:semiHidden/>
    <w:unhideWhenUsed/>
    <w:qFormat/>
    <w:rsid w:val="00D06289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D06289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6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6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4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417889/d870477c6700030dda8cc553cb014772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04417889/d870477c6700030dda8cc553cb01477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417889/d870477c6700030dda8cc553cb014772.doc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8314</Words>
  <Characters>4739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Установа</cp:lastModifiedBy>
  <cp:revision>6</cp:revision>
  <cp:lastPrinted>2018-03-20T07:53:00Z</cp:lastPrinted>
  <dcterms:created xsi:type="dcterms:W3CDTF">2018-03-19T14:52:00Z</dcterms:created>
  <dcterms:modified xsi:type="dcterms:W3CDTF">2018-03-21T08:20:00Z</dcterms:modified>
</cp:coreProperties>
</file>