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10" w:rsidRDefault="00E01F10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Default="002B5CD8" w:rsidP="00E01F1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pt;margin-top:-11.5pt;width:36.5pt;height:50.5pt;z-index:251660288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9181072" r:id="rId8"/>
        </w:pict>
      </w:r>
    </w:p>
    <w:p w:rsidR="00E01F10" w:rsidRDefault="00E01F10" w:rsidP="00E01F10"/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112F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FC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112FC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12 СЕСІЯ   </w:t>
      </w:r>
      <w:r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12FC3">
        <w:rPr>
          <w:rFonts w:ascii="Times New Roman" w:hAnsi="Times New Roman" w:cs="Times New Roman"/>
          <w:sz w:val="28"/>
          <w:szCs w:val="28"/>
          <w:lang w:val="uk-UA"/>
        </w:rPr>
        <w:t>ІІІ  СКЛИКАННЯ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5E0B64" w:rsidRDefault="00E01F10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0D20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.06.2021 року                                                                                №  </w:t>
      </w:r>
      <w:r w:rsidR="0077076C">
        <w:rPr>
          <w:rFonts w:ascii="Times New Roman" w:hAnsi="Times New Roman" w:cs="Times New Roman"/>
          <w:sz w:val="28"/>
          <w:szCs w:val="28"/>
          <w:lang w:val="uk-UA"/>
        </w:rPr>
        <w:t xml:space="preserve"> 566</w:t>
      </w:r>
    </w:p>
    <w:p w:rsidR="00E01F10" w:rsidRPr="00CD1228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E01F10" w:rsidRPr="00CD1228" w:rsidRDefault="00E01F10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6E30B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Про припинення діяльності 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179A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ст.26 Закону України «Про місцеве самоврядування в України», ст.25 Закону України «Про загальну середню освіту», з метою раціонального використання бюджетних коштів і вдосконалення  мережі закладів освіти об’єднаної територіальної громади, максимального задоволення  освітніх та культурних потреб громадян, та створення оптимальних умов для надання якісних освітніх послуг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Білгород-Дністровського району Одеської області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E0B64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ВИРІШИЛА:   </w:t>
      </w:r>
    </w:p>
    <w:p w:rsidR="006E30B7" w:rsidRDefault="006E30B7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1.Припинити діяльність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</w:t>
      </w:r>
    </w:p>
    <w:p w:rsidR="00E01F10" w:rsidRPr="00CD1228" w:rsidRDefault="00E01F10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 (код ЄДРПОУ</w:t>
      </w:r>
      <w:r w:rsidR="006E30B7">
        <w:rPr>
          <w:rFonts w:ascii="Times New Roman" w:hAnsi="Times New Roman" w:cs="Times New Roman"/>
          <w:sz w:val="28"/>
          <w:szCs w:val="28"/>
          <w:lang w:val="uk-UA"/>
        </w:rPr>
        <w:t xml:space="preserve">  25814459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, (68210, Одеська область, </w:t>
      </w:r>
      <w:proofErr w:type="spellStart"/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>Саратський</w:t>
      </w:r>
      <w:proofErr w:type="spellEnd"/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>с.Міняйлівка</w:t>
      </w:r>
      <w:proofErr w:type="spellEnd"/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>, вул. Шкільна, 5).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2.Встановити, що правонаступником усіх прав та обов’язків</w:t>
      </w:r>
      <w:r w:rsidR="007B2B3E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 </w:t>
      </w:r>
      <w:proofErr w:type="spellStart"/>
      <w:r w:rsidR="006E30B7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 </w:t>
      </w:r>
      <w:r w:rsidR="006E30B7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proofErr w:type="spellStart"/>
      <w:r w:rsidR="006E30B7">
        <w:rPr>
          <w:rFonts w:ascii="Times New Roman" w:hAnsi="Times New Roman" w:cs="Times New Roman"/>
          <w:sz w:val="28"/>
          <w:szCs w:val="28"/>
          <w:lang w:val="uk-UA"/>
        </w:rPr>
        <w:t>Фцратівська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гімназія</w:t>
      </w:r>
      <w:r w:rsidR="007B2B3E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3.Створити комісію з припинення </w:t>
      </w:r>
      <w:proofErr w:type="spellStart"/>
      <w:r w:rsidR="006E30B7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згідно  з додатком  і визначити місцезнаходження комісії : 68211, Одеська область, Білгород-Дністровський район,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с.Петропавлівка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, вулиця Гагаріна,1.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4.Покласти на комісію з припинення </w:t>
      </w:r>
      <w:proofErr w:type="spellStart"/>
      <w:r w:rsidR="006E30B7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загальної середньої освіти І-ІІІ ступенів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0C3D28" w:rsidRPr="00CD1228">
        <w:rPr>
          <w:rFonts w:ascii="Times New Roman" w:hAnsi="Times New Roman" w:cs="Times New Roman"/>
          <w:sz w:val="28"/>
          <w:szCs w:val="28"/>
          <w:lang w:val="uk-UA"/>
        </w:rPr>
        <w:t>вноваження  щодо виконання обов’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язків та реалізація прав на період до завершення  його </w:t>
      </w:r>
      <w:r w:rsidR="007B2B3E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5.Після закінчення процедури припинення, але не раніше закінчення строку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заявлення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вимог кредиторами провести державну реєстрацію припинення</w:t>
      </w:r>
      <w:r w:rsidR="00991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1CCC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шляхом внесення відомостей до Єдиного державного реєстру юридичних осіб та фізичних осіб-підприємців.</w:t>
      </w:r>
    </w:p>
    <w:p w:rsidR="002D0D20" w:rsidRPr="00CD1228" w:rsidRDefault="002D0D2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0D20" w:rsidRPr="00CD1228" w:rsidRDefault="002D0D2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991CC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6.Комісії з припинення </w:t>
      </w:r>
      <w:proofErr w:type="spellStart"/>
      <w:r w:rsidR="00991CCC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області: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6.1.Протягом трьох робочих днів з дати прийняття цього </w:t>
      </w:r>
      <w:r w:rsidRPr="00CD12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рішення</w:t>
      </w:r>
      <w:r w:rsidRPr="00CD122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повідомити орган, що здійснює державну реєстрацію, про рішенн</w:t>
      </w:r>
      <w:r w:rsidR="00991CCC">
        <w:rPr>
          <w:rFonts w:ascii="Times New Roman" w:hAnsi="Times New Roman" w:cs="Times New Roman"/>
          <w:sz w:val="28"/>
          <w:szCs w:val="28"/>
          <w:lang w:val="uk-UA"/>
        </w:rPr>
        <w:t xml:space="preserve">я щодо припинення </w:t>
      </w:r>
      <w:proofErr w:type="spellStart"/>
      <w:r w:rsidR="00991CCC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 та подати йому в установленому законодавством порядку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6.2.Після оприлюднення повідомлення Міністерством юстиції України в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онлайн-сервісі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Єдиного державного реєстру юридичних осіб, фізичних осіб підприємців  та громадських  про припинення діяльності </w:t>
      </w:r>
      <w:proofErr w:type="spellStart"/>
      <w:r w:rsidR="00991CCC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вжити заходів для виявлення кредиторів  та письмово повідомити їх про реорганізацію. Встанов</w:t>
      </w:r>
      <w:r w:rsidR="00991CCC">
        <w:rPr>
          <w:rFonts w:ascii="Times New Roman" w:hAnsi="Times New Roman" w:cs="Times New Roman"/>
          <w:sz w:val="28"/>
          <w:szCs w:val="28"/>
          <w:lang w:val="uk-UA"/>
        </w:rPr>
        <w:t xml:space="preserve">ити строк  </w:t>
      </w:r>
      <w:proofErr w:type="spellStart"/>
      <w:r w:rsidR="00991CCC">
        <w:rPr>
          <w:rFonts w:ascii="Times New Roman" w:hAnsi="Times New Roman" w:cs="Times New Roman"/>
          <w:sz w:val="28"/>
          <w:szCs w:val="28"/>
          <w:lang w:val="uk-UA"/>
        </w:rPr>
        <w:t>заявлен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вимог кредиторів – 2(два) місяці з дня опуб</w:t>
      </w:r>
      <w:r w:rsidR="000C3D28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лікування  повідомлення про  припинення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онлайн-сервісі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Єдиного державного реєстру.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6.3.Попередити відповідно до чинного законодавства працівників</w:t>
      </w:r>
      <w:r w:rsidR="00991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1CCC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про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закладу шляхом </w:t>
      </w:r>
      <w:r w:rsidR="00991CCC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proofErr w:type="spellStart"/>
      <w:r w:rsidR="00991CCC">
        <w:rPr>
          <w:rFonts w:ascii="Times New Roman" w:hAnsi="Times New Roman" w:cs="Times New Roman"/>
          <w:sz w:val="28"/>
          <w:szCs w:val="28"/>
          <w:lang w:val="uk-UA"/>
        </w:rPr>
        <w:t>Фуратівської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гімназії з дошкільним відділенням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6.4.Забезпечити дотримання встановлених законом прав та соціально-економічних гарантій працівників</w:t>
      </w:r>
      <w:r w:rsidR="00991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1CCC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під час проведення процедур, визначених цим  рішенням.</w:t>
      </w:r>
    </w:p>
    <w:p w:rsidR="00E01F10" w:rsidRPr="00CD1228" w:rsidRDefault="000C3D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lastRenderedPageBreak/>
        <w:t>6.5.Здійснити інвентари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зацію основних засобів, нематеріальних активів, товарно-матеріальних цінностей, грошових коштів, документів і розрахунків</w:t>
      </w:r>
      <w:r w:rsidR="00991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1CCC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6.6.Забезпечити передання до відповідної архівної установи документи, які підлягають тривалому зберіганню та отримати відповідну довідку.</w:t>
      </w:r>
    </w:p>
    <w:p w:rsidR="00E01F10" w:rsidRPr="00CD1228" w:rsidRDefault="00BE131D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.Вжити інших заходів, пов’язаних з припинення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0D60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в порядку, встановленому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чинним законодавством України.</w:t>
      </w:r>
    </w:p>
    <w:p w:rsidR="00E01F10" w:rsidRPr="00CD1228" w:rsidRDefault="002D0D2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6.8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.П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ісля закінчення строку для пред’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явлення вимог кредиторами, забезпечити складання передавального акту, який повинен містити відомості про склад майна, перелік пред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’я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влених кредиторами вимог та результатів їх розгляду, положення про правонаступництво щодо всіх зобов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язань </w:t>
      </w:r>
      <w:r w:rsidR="00E01F10" w:rsidRPr="00CD12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юридичної особи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, що припиняється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, включаючи зобов’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язання , які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оспорюються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сторонами і в тижневий строк подати його до затвердження до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8.Оприлюднити рішення відповідно до вимог законодавства.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9.Контроль за виконанням рішення покласти на постійну комісію з питань освіти, культури, молоді та спорту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О.М. Чернова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BE131D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CD122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CD122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BE131D" w:rsidRPr="00CD1228" w:rsidRDefault="00BE131D" w:rsidP="00CD122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рішення                                                                                                                                                   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BE131D" w:rsidRPr="00CD1228" w:rsidRDefault="00BE131D" w:rsidP="00CD122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ради                                                                                                                                                    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E01F10" w:rsidRPr="00CD1228" w:rsidRDefault="00CD1228" w:rsidP="00CD122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 w:rsidR="00E26858" w:rsidRPr="00CD1228">
        <w:rPr>
          <w:rFonts w:ascii="Times New Roman" w:hAnsi="Times New Roman" w:cs="Times New Roman"/>
          <w:sz w:val="28"/>
          <w:szCs w:val="28"/>
          <w:lang w:val="uk-UA"/>
        </w:rPr>
        <w:t>25.06.2021р.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№     </w:t>
      </w:r>
      <w:r w:rsidR="00400D60">
        <w:rPr>
          <w:rFonts w:ascii="Times New Roman" w:hAnsi="Times New Roman" w:cs="Times New Roman"/>
          <w:sz w:val="28"/>
          <w:szCs w:val="28"/>
          <w:lang w:val="uk-UA"/>
        </w:rPr>
        <w:t>566</w:t>
      </w:r>
    </w:p>
    <w:p w:rsidR="00BE131D" w:rsidRPr="00CD1228" w:rsidRDefault="00BE131D" w:rsidP="00BE13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Default="00E01F10" w:rsidP="00D3718F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СКЛАД                                                                                                                                                                      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комісії з припинення діяльності </w:t>
      </w:r>
      <w:proofErr w:type="spellStart"/>
      <w:r w:rsidR="00400D60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</w:t>
      </w:r>
    </w:p>
    <w:p w:rsidR="002B5CD8" w:rsidRDefault="002B5CD8" w:rsidP="00D3718F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B5CD8" w:rsidRPr="002B5CD8" w:rsidRDefault="002B5CD8" w:rsidP="00D3718F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5"/>
        <w:gridCol w:w="2922"/>
        <w:gridCol w:w="1873"/>
        <w:gridCol w:w="2307"/>
        <w:gridCol w:w="1914"/>
      </w:tblGrid>
      <w:tr w:rsidR="002B5CD8" w:rsidRPr="002B5CD8" w:rsidTr="00B239FA">
        <w:tc>
          <w:tcPr>
            <w:tcW w:w="546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98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914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Податковий номер платника податку</w:t>
            </w:r>
          </w:p>
        </w:tc>
        <w:tc>
          <w:tcPr>
            <w:tcW w:w="2072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Займана посада</w:t>
            </w:r>
          </w:p>
        </w:tc>
        <w:tc>
          <w:tcPr>
            <w:tcW w:w="1941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 в комісії з реорганізації</w:t>
            </w:r>
          </w:p>
        </w:tc>
      </w:tr>
      <w:tr w:rsidR="002B5CD8" w:rsidRPr="002B5CD8" w:rsidTr="00B239FA">
        <w:tc>
          <w:tcPr>
            <w:tcW w:w="546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098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Борткевич</w:t>
            </w:r>
            <w:proofErr w:type="spellEnd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1914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2801114471</w:t>
            </w:r>
          </w:p>
        </w:tc>
        <w:tc>
          <w:tcPr>
            <w:tcW w:w="2072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освіти КМС</w:t>
            </w:r>
          </w:p>
        </w:tc>
        <w:tc>
          <w:tcPr>
            <w:tcW w:w="1941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2B5CD8" w:rsidRPr="002B5CD8" w:rsidTr="00B239FA">
        <w:tc>
          <w:tcPr>
            <w:tcW w:w="546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098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Мунтян</w:t>
            </w:r>
            <w:proofErr w:type="spellEnd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Іванович</w:t>
            </w:r>
          </w:p>
        </w:tc>
        <w:tc>
          <w:tcPr>
            <w:tcW w:w="1914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2924822897</w:t>
            </w:r>
          </w:p>
        </w:tc>
        <w:tc>
          <w:tcPr>
            <w:tcW w:w="2072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ради, голова комісії з освіти </w:t>
            </w:r>
          </w:p>
        </w:tc>
        <w:tc>
          <w:tcPr>
            <w:tcW w:w="1941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2B5CD8" w:rsidRPr="002B5CD8" w:rsidTr="00B239FA">
        <w:tc>
          <w:tcPr>
            <w:tcW w:w="546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098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Малій Любов </w:t>
            </w:r>
            <w:proofErr w:type="spellStart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Федосіївна</w:t>
            </w:r>
            <w:proofErr w:type="spellEnd"/>
          </w:p>
        </w:tc>
        <w:tc>
          <w:tcPr>
            <w:tcW w:w="1914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2316809302</w:t>
            </w:r>
          </w:p>
        </w:tc>
        <w:tc>
          <w:tcPr>
            <w:tcW w:w="2072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 </w:t>
            </w:r>
          </w:p>
        </w:tc>
        <w:tc>
          <w:tcPr>
            <w:tcW w:w="1941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  <w:tr w:rsidR="002B5CD8" w:rsidRPr="002B5CD8" w:rsidTr="00B239FA">
        <w:tc>
          <w:tcPr>
            <w:tcW w:w="546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098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Гангурян</w:t>
            </w:r>
            <w:proofErr w:type="spellEnd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Катерина Леонідівна</w:t>
            </w:r>
          </w:p>
        </w:tc>
        <w:tc>
          <w:tcPr>
            <w:tcW w:w="1914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2781206843</w:t>
            </w:r>
          </w:p>
        </w:tc>
        <w:tc>
          <w:tcPr>
            <w:tcW w:w="2072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Завгосп  ЗНЗ</w:t>
            </w:r>
          </w:p>
        </w:tc>
        <w:tc>
          <w:tcPr>
            <w:tcW w:w="1941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  <w:tr w:rsidR="002B5CD8" w:rsidRPr="002B5CD8" w:rsidTr="00B239FA">
        <w:tc>
          <w:tcPr>
            <w:tcW w:w="546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098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Цинцарь</w:t>
            </w:r>
            <w:proofErr w:type="spellEnd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Вікторівна</w:t>
            </w:r>
          </w:p>
        </w:tc>
        <w:tc>
          <w:tcPr>
            <w:tcW w:w="1914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3347718569</w:t>
            </w:r>
          </w:p>
        </w:tc>
        <w:tc>
          <w:tcPr>
            <w:tcW w:w="2072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ДНЗ</w:t>
            </w:r>
          </w:p>
        </w:tc>
        <w:tc>
          <w:tcPr>
            <w:tcW w:w="1941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  <w:tr w:rsidR="002B5CD8" w:rsidRPr="002B5CD8" w:rsidTr="00B239FA">
        <w:tc>
          <w:tcPr>
            <w:tcW w:w="546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098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Пунга</w:t>
            </w:r>
            <w:proofErr w:type="spellEnd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</w:t>
            </w:r>
            <w:proofErr w:type="spellStart"/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Володимірівна</w:t>
            </w:r>
            <w:proofErr w:type="spellEnd"/>
          </w:p>
        </w:tc>
        <w:tc>
          <w:tcPr>
            <w:tcW w:w="1914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2465708040</w:t>
            </w:r>
          </w:p>
        </w:tc>
        <w:tc>
          <w:tcPr>
            <w:tcW w:w="2072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 відділу освіти</w:t>
            </w:r>
          </w:p>
        </w:tc>
        <w:tc>
          <w:tcPr>
            <w:tcW w:w="1941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  <w:tr w:rsidR="002B5CD8" w:rsidRPr="002B5CD8" w:rsidTr="00B239FA">
        <w:tc>
          <w:tcPr>
            <w:tcW w:w="546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098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Степанова Катерина Вікторівна</w:t>
            </w:r>
          </w:p>
        </w:tc>
        <w:tc>
          <w:tcPr>
            <w:tcW w:w="1914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3523510527</w:t>
            </w:r>
          </w:p>
        </w:tc>
        <w:tc>
          <w:tcPr>
            <w:tcW w:w="2072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 відділу освіти</w:t>
            </w:r>
          </w:p>
        </w:tc>
        <w:tc>
          <w:tcPr>
            <w:tcW w:w="1941" w:type="dxa"/>
          </w:tcPr>
          <w:p w:rsidR="002B5CD8" w:rsidRPr="002B5CD8" w:rsidRDefault="002B5CD8" w:rsidP="00B239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</w:tbl>
    <w:p w:rsidR="00D3718F" w:rsidRPr="00D3718F" w:rsidRDefault="00D3718F" w:rsidP="00CD122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31D" w:rsidRPr="00CD1228" w:rsidRDefault="00BE131D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сільській голова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О.М.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ернова</w:t>
      </w:r>
    </w:p>
    <w:sectPr w:rsidR="00CD1228" w:rsidRPr="00CD1228" w:rsidSect="001E06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7C5"/>
    <w:multiLevelType w:val="hybridMultilevel"/>
    <w:tmpl w:val="DE6C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5"/>
    <w:rsid w:val="00011BC8"/>
    <w:rsid w:val="00077B30"/>
    <w:rsid w:val="000C3D28"/>
    <w:rsid w:val="00112FC3"/>
    <w:rsid w:val="00124B22"/>
    <w:rsid w:val="0013571F"/>
    <w:rsid w:val="00142DD2"/>
    <w:rsid w:val="001E0621"/>
    <w:rsid w:val="00201DFA"/>
    <w:rsid w:val="00217BA2"/>
    <w:rsid w:val="002227C9"/>
    <w:rsid w:val="00256D03"/>
    <w:rsid w:val="002B5CD8"/>
    <w:rsid w:val="002D0D20"/>
    <w:rsid w:val="0031353B"/>
    <w:rsid w:val="00332A71"/>
    <w:rsid w:val="0037536C"/>
    <w:rsid w:val="003A529B"/>
    <w:rsid w:val="00400D60"/>
    <w:rsid w:val="00403A2C"/>
    <w:rsid w:val="00403C9A"/>
    <w:rsid w:val="0044213D"/>
    <w:rsid w:val="00450CB8"/>
    <w:rsid w:val="00500870"/>
    <w:rsid w:val="005B1266"/>
    <w:rsid w:val="005E0B64"/>
    <w:rsid w:val="006265F7"/>
    <w:rsid w:val="006635DE"/>
    <w:rsid w:val="006638F5"/>
    <w:rsid w:val="006B5794"/>
    <w:rsid w:val="006E30B7"/>
    <w:rsid w:val="0077076C"/>
    <w:rsid w:val="007A305E"/>
    <w:rsid w:val="007B2B3E"/>
    <w:rsid w:val="007C1E16"/>
    <w:rsid w:val="008C2A07"/>
    <w:rsid w:val="008C2C85"/>
    <w:rsid w:val="00921427"/>
    <w:rsid w:val="00923BAE"/>
    <w:rsid w:val="00981D86"/>
    <w:rsid w:val="00991CCC"/>
    <w:rsid w:val="009E241F"/>
    <w:rsid w:val="00B45F63"/>
    <w:rsid w:val="00BC179A"/>
    <w:rsid w:val="00BE131D"/>
    <w:rsid w:val="00C15A85"/>
    <w:rsid w:val="00CD1228"/>
    <w:rsid w:val="00D2255D"/>
    <w:rsid w:val="00D3718F"/>
    <w:rsid w:val="00D433DD"/>
    <w:rsid w:val="00D52061"/>
    <w:rsid w:val="00D85663"/>
    <w:rsid w:val="00D86359"/>
    <w:rsid w:val="00DA6226"/>
    <w:rsid w:val="00E01F10"/>
    <w:rsid w:val="00E26858"/>
    <w:rsid w:val="00E41CF4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03C9A"/>
    <w:pPr>
      <w:spacing w:after="0" w:line="240" w:lineRule="auto"/>
    </w:pPr>
  </w:style>
  <w:style w:type="table" w:styleId="a5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99"/>
    <w:locked/>
    <w:rsid w:val="002B5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03C9A"/>
    <w:pPr>
      <w:spacing w:after="0" w:line="240" w:lineRule="auto"/>
    </w:pPr>
  </w:style>
  <w:style w:type="table" w:styleId="a5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99"/>
    <w:locked/>
    <w:rsid w:val="002B5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5A14-4500-407D-8391-5AA2EDEF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2021-09-22T05:37:00Z</cp:lastPrinted>
  <dcterms:created xsi:type="dcterms:W3CDTF">2021-09-22T05:38:00Z</dcterms:created>
  <dcterms:modified xsi:type="dcterms:W3CDTF">2021-11-23T11:58:00Z</dcterms:modified>
</cp:coreProperties>
</file>