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4EB3E" w14:textId="77777777" w:rsidR="00115A40" w:rsidRPr="00F362F8" w:rsidRDefault="00115A40" w:rsidP="00115A40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5A40">
        <w:rPr>
          <w:rFonts w:ascii="ProbaPro" w:eastAsia="Times New Roman" w:hAnsi="ProbaPro" w:cs="Times New Roman"/>
          <w:b/>
          <w:bCs/>
          <w:sz w:val="30"/>
          <w:szCs w:val="30"/>
          <w:lang w:eastAsia="ru-RU"/>
        </w:rPr>
        <w:br/>
      </w: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Любашівська </w:t>
      </w: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селищна рада</w:t>
      </w:r>
    </w:p>
    <w:p w14:paraId="2D4195DF" w14:textId="77777777" w:rsidR="00115A40" w:rsidRPr="00F362F8" w:rsidRDefault="00115A40" w:rsidP="00115A40">
      <w:pPr>
        <w:spacing w:after="15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</w:pPr>
      <w:r w:rsidRPr="00F362F8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  <w:t xml:space="preserve">ПРОЕКТ </w:t>
      </w:r>
      <w:proofErr w:type="gramStart"/>
      <w:r w:rsidRPr="00F362F8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  <w:t>Р</w:t>
      </w:r>
      <w:proofErr w:type="gramEnd"/>
      <w:r w:rsidRPr="00F362F8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  <w:t>ІШЕ</w:t>
      </w:r>
      <w:r w:rsidRPr="00F362F8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val="uk-UA" w:eastAsia="ru-RU"/>
        </w:rPr>
        <w:t>ННЯ</w:t>
      </w:r>
      <w:r w:rsidRPr="00F362F8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  <w:t xml:space="preserve"> СЕСІЇ</w:t>
      </w:r>
    </w:p>
    <w:p w14:paraId="481F5883" w14:textId="77777777" w:rsidR="00115A40" w:rsidRPr="00F362F8" w:rsidRDefault="00115A40" w:rsidP="00115A40">
      <w:pPr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</w:t>
      </w: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</w:t>
      </w: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___  ____  2021 року </w:t>
      </w: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______</w:t>
      </w:r>
    </w:p>
    <w:p w14:paraId="759384E2" w14:textId="77777777" w:rsidR="00115A40" w:rsidRPr="00F362F8" w:rsidRDefault="00115A40" w:rsidP="00115A40">
      <w:pPr>
        <w:spacing w:after="15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затвердження регламенту </w:t>
      </w:r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управління «Центр надання </w:t>
      </w:r>
      <w:proofErr w:type="gramStart"/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адм</w:t>
      </w:r>
      <w:proofErr w:type="gramEnd"/>
      <w:r w:rsidRPr="00F362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іністративних та соціальних послуг» Любашівської селищної ради</w:t>
      </w:r>
    </w:p>
    <w:p w14:paraId="375DD680" w14:textId="77777777" w:rsidR="00115A40" w:rsidRPr="00F362F8" w:rsidRDefault="00115A40" w:rsidP="00115A40">
      <w:pPr>
        <w:spacing w:line="240" w:lineRule="atLeast"/>
        <w:jc w:val="center"/>
        <w:textAlignment w:val="baseline"/>
        <w:rPr>
          <w:rFonts w:ascii="Times New Roman" w:eastAsia="Times New Roman" w:hAnsi="Times New Roman" w:cs="Times New Roman"/>
          <w:spacing w:val="8"/>
          <w:sz w:val="24"/>
          <w:szCs w:val="24"/>
          <w:lang w:val="uk-UA" w:eastAsia="ru-RU"/>
        </w:rPr>
      </w:pPr>
      <w:r w:rsidRPr="00F362F8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Опубліковано </w:t>
      </w:r>
      <w:r w:rsidRPr="00F362F8">
        <w:rPr>
          <w:rFonts w:ascii="Times New Roman" w:eastAsia="Times New Roman" w:hAnsi="Times New Roman" w:cs="Times New Roman"/>
          <w:spacing w:val="8"/>
          <w:sz w:val="24"/>
          <w:szCs w:val="24"/>
          <w:lang w:val="uk-UA" w:eastAsia="ru-RU"/>
        </w:rPr>
        <w:t>_____  ____  2021року</w:t>
      </w:r>
    </w:p>
    <w:p w14:paraId="25FAC4D8" w14:textId="77777777" w:rsidR="00115A40" w:rsidRPr="00F362F8" w:rsidRDefault="006F0898" w:rsidP="00115A40">
      <w:pPr>
        <w:spacing w:before="450" w:after="4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99A7611">
          <v:rect id="_x0000_i1025" style="width:0;height:0" o:hralign="center" o:hrstd="t" o:hr="t" fillcolor="#a0a0a0" stroked="f"/>
        </w:pict>
      </w:r>
    </w:p>
    <w:p w14:paraId="205E4BDE" w14:textId="77777777" w:rsidR="00115A40" w:rsidRPr="00F362F8" w:rsidRDefault="00115A40" w:rsidP="00115A4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ПРОЕКТ</w:t>
      </w:r>
    </w:p>
    <w:p w14:paraId="5C913C5E" w14:textId="77777777" w:rsidR="00115A40" w:rsidRPr="00F362F8" w:rsidRDefault="00115A40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Повідомлення про оприлюднення </w:t>
      </w:r>
    </w:p>
    <w:p w14:paraId="4AC5CF3E" w14:textId="648B9EBB" w:rsidR="00115A40" w:rsidRPr="00F362F8" w:rsidRDefault="00F26C68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кту </w:t>
      </w:r>
      <w:proofErr w:type="gramStart"/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регуляторного</w:t>
      </w:r>
      <w:proofErr w:type="gramEnd"/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</w:t>
      </w:r>
    </w:p>
    <w:p w14:paraId="21AC6959" w14:textId="64FA455F" w:rsidR="00115A40" w:rsidRPr="00F362F8" w:rsidRDefault="00F26C68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="005105F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Любашівська 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</w:t>
      </w:r>
      <w:r w:rsidR="005105F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</w:t>
      </w:r>
      <w:r w:rsidR="005105F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овідомляє про оприлюднення  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кту  регуляторного акта «Про затвердження Регламенту 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Центру надання адміністративних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Любашівської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селищної ради» з метою  одержання зауважень і пропозицій від фізичних осіб.</w:t>
      </w:r>
    </w:p>
    <w:p w14:paraId="6E523D6B" w14:textId="5C5341D1" w:rsidR="00115A40" w:rsidRPr="00F362F8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36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Змі</w:t>
      </w:r>
      <w:proofErr w:type="gramStart"/>
      <w:r w:rsidRPr="00F36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gramEnd"/>
      <w:r w:rsidRPr="00F36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проекту: </w:t>
      </w:r>
      <w:r w:rsidR="006F0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="006F0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ктом регуляторного акта передбачено приведення нормативно-правових актів у відповідність  до вимог  чинного законодавства та інформування населення  щодо порядку  надання адміністративних 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послуг,  підвищення якості їх  надання, створення сприятливих умов для реалізації прав, свобод і законних інтересів фізичних та юридичних осіб на одержання таких послуг на території 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івської селищної </w:t>
      </w:r>
      <w:proofErr w:type="gramStart"/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proofErr w:type="gramEnd"/>
      <w:r w:rsidR="005105F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640B13A7" w14:textId="61404C9A" w:rsidR="00115A40" w:rsidRPr="00F362F8" w:rsidRDefault="006F0898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Поштова та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лектронна адреса розробника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кту регуляторного акта, до якого надсилаються зауваження та пропозиції:</w:t>
      </w:r>
    </w:p>
    <w:p w14:paraId="17FDC928" w14:textId="664F836A" w:rsidR="00115A40" w:rsidRPr="00F362F8" w:rsidRDefault="00115A40" w:rsidP="006F08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</w:t>
      </w:r>
      <w:r w:rsidR="005105F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селищн</w:t>
      </w:r>
      <w:r w:rsidR="005105F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</w:t>
      </w:r>
      <w:r w:rsidR="005105F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506C8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970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вул..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970DA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Володимира </w:t>
      </w:r>
      <w:r w:rsidR="00767D5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Князя </w:t>
      </w:r>
      <w:r w:rsidR="000970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84, 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смт</w:t>
      </w:r>
      <w:r w:rsidR="00767D57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Любашівка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</w:p>
    <w:p w14:paraId="7E1AD50D" w14:textId="029C3533" w:rsidR="00115A40" w:rsidRPr="00F362F8" w:rsidRDefault="004C4FA1" w:rsidP="006F08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Одеська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область,</w:t>
      </w:r>
      <w:r w:rsidR="000970DA" w:rsidRPr="000970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970DA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індекс 66502</w:t>
      </w:r>
    </w:p>
    <w:p w14:paraId="666C4589" w14:textId="1ADA4E4E" w:rsidR="004C4FA1" w:rsidRPr="000970DA" w:rsidRDefault="00115A40" w:rsidP="006F08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тел. </w:t>
      </w:r>
      <w:r w:rsidR="000970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(04864) 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2-</w:t>
      </w:r>
      <w:r w:rsidR="004C4FA1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25-40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Е-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mail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history="1"/>
      <w:r w:rsidR="000970DA">
        <w:rPr>
          <w:rFonts w:ascii="Times New Roman" w:hAnsi="Times New Roman" w:cs="Times New Roman"/>
          <w:sz w:val="24"/>
          <w:szCs w:val="24"/>
          <w:lang w:val="en-US"/>
        </w:rPr>
        <w:t>luba</w:t>
      </w:r>
      <w:r w:rsidR="000970DA" w:rsidRPr="000970DA">
        <w:rPr>
          <w:rFonts w:ascii="Times New Roman" w:hAnsi="Times New Roman" w:cs="Times New Roman"/>
          <w:sz w:val="24"/>
          <w:szCs w:val="24"/>
        </w:rPr>
        <w:t>.</w:t>
      </w:r>
      <w:r w:rsidR="000970DA">
        <w:rPr>
          <w:rFonts w:ascii="Times New Roman" w:hAnsi="Times New Roman" w:cs="Times New Roman"/>
          <w:sz w:val="24"/>
          <w:szCs w:val="24"/>
          <w:lang w:val="en-US"/>
        </w:rPr>
        <w:t>rada</w:t>
      </w:r>
      <w:r w:rsidR="000970DA" w:rsidRPr="000970DA">
        <w:rPr>
          <w:rFonts w:ascii="Times New Roman" w:hAnsi="Times New Roman" w:cs="Times New Roman"/>
          <w:sz w:val="24"/>
          <w:szCs w:val="24"/>
        </w:rPr>
        <w:t>@</w:t>
      </w:r>
      <w:r w:rsidR="000970DA">
        <w:rPr>
          <w:rFonts w:ascii="Times New Roman" w:hAnsi="Times New Roman" w:cs="Times New Roman"/>
          <w:sz w:val="24"/>
          <w:szCs w:val="24"/>
          <w:lang w:val="en-US"/>
        </w:rPr>
        <w:t>ukr</w:t>
      </w:r>
      <w:r w:rsidR="000970DA" w:rsidRPr="000970DA">
        <w:rPr>
          <w:rFonts w:ascii="Times New Roman" w:hAnsi="Times New Roman" w:cs="Times New Roman"/>
          <w:sz w:val="24"/>
          <w:szCs w:val="24"/>
        </w:rPr>
        <w:t>.</w:t>
      </w:r>
      <w:r w:rsidR="000970DA">
        <w:rPr>
          <w:rFonts w:ascii="Times New Roman" w:hAnsi="Times New Roman" w:cs="Times New Roman"/>
          <w:sz w:val="24"/>
          <w:szCs w:val="24"/>
          <w:lang w:val="en-US"/>
        </w:rPr>
        <w:t>net</w:t>
      </w:r>
    </w:p>
    <w:p w14:paraId="62B495AC" w14:textId="77777777" w:rsidR="004C4FA1" w:rsidRPr="00F362F8" w:rsidRDefault="004C4FA1" w:rsidP="006F08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4DEDFD2" w14:textId="45A61ABC" w:rsidR="00115A40" w:rsidRPr="00F362F8" w:rsidRDefault="000970DA" w:rsidP="004C4F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970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</w:t>
      </w:r>
      <w:r w:rsidR="006F0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кт регуляторного акт</w:t>
      </w:r>
      <w:r w:rsidR="000504D4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аналіз регуляторного впливу будуть розміщені на офіційному сайті </w:t>
      </w:r>
      <w:r w:rsidR="000504D4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Любашівської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 ради, не пізніше п’яти робочих днів з дня оголошення про оприлюднення.</w:t>
      </w:r>
    </w:p>
    <w:p w14:paraId="353D4A31" w14:textId="003E3BA9" w:rsidR="00115A40" w:rsidRPr="006F0898" w:rsidRDefault="006F0898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 w:rsidR="00115A40" w:rsidRPr="006F0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Зауваження і пропозиції від фізичних осіб приймаються протягом</w:t>
      </w:r>
      <w:r w:rsidRPr="006F0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30 днів з дня оприлюднення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="00115A40" w:rsidRPr="006F08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кту регуляторного акта та аналізу регуляторного впливу поштою або в електронній формі на вищевказані адреси.</w:t>
      </w:r>
    </w:p>
    <w:tbl>
      <w:tblPr>
        <w:tblpPr w:leftFromText="45" w:rightFromText="45" w:vertAnchor="text"/>
        <w:tblW w:w="11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6750"/>
      </w:tblGrid>
      <w:tr w:rsidR="00115A40" w:rsidRPr="006F0898" w14:paraId="2F4C5CC0" w14:textId="77777777" w:rsidTr="00115A40">
        <w:trPr>
          <w:gridAfter w:val="1"/>
        </w:trPr>
        <w:tc>
          <w:tcPr>
            <w:tcW w:w="4500" w:type="dxa"/>
            <w:tcBorders>
              <w:left w:val="nil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B53F78C" w14:textId="77777777" w:rsidR="00115A40" w:rsidRPr="006F0898" w:rsidRDefault="00115A40" w:rsidP="00115A40">
            <w:pPr>
              <w:spacing w:after="0" w:line="240" w:lineRule="auto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</w:tc>
      </w:tr>
      <w:tr w:rsidR="00115A40" w:rsidRPr="006F0898" w14:paraId="24C3D838" w14:textId="77777777" w:rsidTr="00115A40">
        <w:tc>
          <w:tcPr>
            <w:tcW w:w="0" w:type="auto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F8EEFA5" w14:textId="77777777" w:rsidR="00115A40" w:rsidRPr="006F0898" w:rsidRDefault="00115A40" w:rsidP="00115A4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498C41C4" w14:textId="77777777" w:rsidR="00115A40" w:rsidRPr="006F0898" w:rsidRDefault="00115A40" w:rsidP="00115A4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084A91EC" w14:textId="77777777" w:rsidR="00115A40" w:rsidRPr="006F0898" w:rsidRDefault="00115A40" w:rsidP="00115A40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vanish/>
          <w:color w:val="212529"/>
          <w:sz w:val="27"/>
          <w:szCs w:val="27"/>
          <w:lang w:val="uk-UA" w:eastAsia="ru-RU"/>
        </w:rPr>
      </w:pPr>
    </w:p>
    <w:tbl>
      <w:tblPr>
        <w:tblpPr w:leftFromText="45" w:rightFromText="45" w:vertAnchor="text"/>
        <w:tblW w:w="11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"/>
        <w:gridCol w:w="11094"/>
      </w:tblGrid>
      <w:tr w:rsidR="00115A40" w:rsidRPr="006F0898" w14:paraId="5BEF17B2" w14:textId="77777777" w:rsidTr="00115A40">
        <w:trPr>
          <w:gridAfter w:val="1"/>
          <w:trHeight w:val="165"/>
        </w:trPr>
        <w:tc>
          <w:tcPr>
            <w:tcW w:w="135" w:type="dxa"/>
            <w:tcBorders>
              <w:left w:val="nil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FCCB957" w14:textId="77777777" w:rsidR="00115A40" w:rsidRPr="006F0898" w:rsidRDefault="00115A40" w:rsidP="00115A40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7"/>
                <w:szCs w:val="27"/>
                <w:lang w:val="uk-UA" w:eastAsia="ru-RU"/>
              </w:rPr>
            </w:pPr>
          </w:p>
        </w:tc>
      </w:tr>
      <w:tr w:rsidR="000967A4" w:rsidRPr="006F0898" w14:paraId="7EF7E20A" w14:textId="77777777" w:rsidTr="00115A40">
        <w:trPr>
          <w:gridAfter w:val="1"/>
          <w:trHeight w:val="165"/>
        </w:trPr>
        <w:tc>
          <w:tcPr>
            <w:tcW w:w="135" w:type="dxa"/>
            <w:tcBorders>
              <w:left w:val="nil"/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6AE21977" w14:textId="77777777" w:rsidR="000967A4" w:rsidRPr="000967A4" w:rsidRDefault="000967A4" w:rsidP="00115A40">
            <w:pPr>
              <w:spacing w:after="0" w:line="240" w:lineRule="auto"/>
              <w:rPr>
                <w:rFonts w:ascii="ProbaPro" w:eastAsia="Times New Roman" w:hAnsi="ProbaPro" w:cs="Times New Roman"/>
                <w:color w:val="212529"/>
                <w:sz w:val="27"/>
                <w:szCs w:val="27"/>
                <w:lang w:val="uk-UA" w:eastAsia="ru-RU"/>
              </w:rPr>
            </w:pPr>
          </w:p>
        </w:tc>
      </w:tr>
      <w:tr w:rsidR="00115A40" w:rsidRPr="006F0898" w14:paraId="49ECA3E0" w14:textId="77777777" w:rsidTr="00115A40">
        <w:tc>
          <w:tcPr>
            <w:tcW w:w="0" w:type="auto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E6CE060" w14:textId="77777777" w:rsidR="00115A40" w:rsidRPr="006F0898" w:rsidRDefault="00115A40" w:rsidP="00115A4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1E8C57A" w14:textId="77777777" w:rsidR="00115A40" w:rsidRPr="006F0898" w:rsidRDefault="00115A40" w:rsidP="00115A4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7456CC43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32B11BF" w14:textId="40E71143" w:rsidR="000967A4" w:rsidRP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</w:t>
      </w:r>
      <w:r w:rsidRPr="000967A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ПРОЄКТ</w:t>
      </w:r>
    </w:p>
    <w:p w14:paraId="16549AB1" w14:textId="77777777" w:rsidR="000967A4" w:rsidRPr="000967A4" w:rsidRDefault="000967A4" w:rsidP="000967A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AAC69A" wp14:editId="2992000D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F24A9" w14:textId="77777777" w:rsidR="000967A4" w:rsidRPr="000967A4" w:rsidRDefault="000967A4" w:rsidP="000967A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14:paraId="2DEE2F41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ЛЮБАШІВСЬКА   СЕЛИЩНА   РАДА</w:t>
      </w:r>
    </w:p>
    <w:p w14:paraId="25978B82" w14:textId="77777777" w:rsidR="000967A4" w:rsidRPr="000967A4" w:rsidRDefault="000967A4" w:rsidP="000967A4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14:paraId="41CFCB39" w14:textId="77777777" w:rsidR="000967A4" w:rsidRPr="000967A4" w:rsidRDefault="000967A4" w:rsidP="000967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____ сесія 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скликання</w:t>
      </w:r>
    </w:p>
    <w:p w14:paraId="5BB4311B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ACCCC20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BFB002" w14:textId="77777777" w:rsidR="000967A4" w:rsidRPr="000967A4" w:rsidRDefault="000967A4" w:rsidP="000967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gramStart"/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</w:t>
      </w:r>
      <w:proofErr w:type="gramEnd"/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Я</w:t>
      </w:r>
    </w:p>
    <w:p w14:paraId="0DD0020A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7FEAEDC8" w14:textId="77777777" w:rsidR="000967A4" w:rsidRPr="000967A4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 xml:space="preserve">___ » ____________ 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2021 року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№   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______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</w:p>
    <w:p w14:paraId="72B0FBAD" w14:textId="77777777" w:rsidR="000967A4" w:rsidRPr="000967A4" w:rsidRDefault="000967A4" w:rsidP="000967A4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0AB41CF4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C76EEB" w14:textId="4D3DD48A" w:rsidR="000967A4" w:rsidRPr="000967A4" w:rsidRDefault="000967A4" w:rsidP="000967A4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затвердження Регламенту 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Управління «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Центр надання </w:t>
      </w:r>
    </w:p>
    <w:p w14:paraId="0FF702A5" w14:textId="27F09A86" w:rsidR="000967A4" w:rsidRPr="000967A4" w:rsidRDefault="000967A4" w:rsidP="000967A4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адм</w:t>
      </w:r>
      <w:proofErr w:type="gramEnd"/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іністративних 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і соціальних 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послуг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» Любашівської селищної ради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22D1C2E" w14:textId="77777777" w:rsidR="000967A4" w:rsidRPr="000967A4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ED8F1" w14:textId="77777777" w:rsidR="000967A4" w:rsidRPr="000967A4" w:rsidRDefault="000967A4" w:rsidP="000967A4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Відповідно до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ей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25, 59 Закону України «Про місцеве самоврядування в Україні»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законів України «Про адміністративні послуги», «Про соціальні послуги»,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Примірного регламенту Центру надання адміністративних послуг, затвердженого постановою Кабінету Міністрів України від 01.08.2013 № 588 (зі змінами)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покращення якості надання адміністративних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громаді Любашівська селищна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</w:t>
      </w:r>
    </w:p>
    <w:p w14:paraId="53F57349" w14:textId="77777777" w:rsidR="000967A4" w:rsidRPr="000967A4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49A47" w14:textId="77777777" w:rsidR="000967A4" w:rsidRPr="000967A4" w:rsidRDefault="000967A4" w:rsidP="000967A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ВИРІШИЛА:</w:t>
      </w:r>
    </w:p>
    <w:p w14:paraId="6AAF58B4" w14:textId="77777777" w:rsidR="000967A4" w:rsidRPr="000967A4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13A87" w14:textId="74996DF1" w:rsidR="000967A4" w:rsidRPr="000967A4" w:rsidRDefault="000967A4" w:rsidP="000967A4">
      <w:pPr>
        <w:numPr>
          <w:ilvl w:val="0"/>
          <w:numId w:val="10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Затвердити Регламент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надання </w:t>
      </w:r>
      <w:proofErr w:type="gramStart"/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 Любашівської селищної ради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(додається).</w:t>
      </w:r>
    </w:p>
    <w:p w14:paraId="5877310B" w14:textId="37555C4E" w:rsidR="000967A4" w:rsidRPr="000967A4" w:rsidRDefault="000967A4" w:rsidP="000967A4">
      <w:pPr>
        <w:numPr>
          <w:ilvl w:val="0"/>
          <w:numId w:val="10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Організаційне виконання </w:t>
      </w:r>
      <w:proofErr w:type="gramStart"/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покласти на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.о. начальника Управління «Центр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надання адміністративних і соціальних послуг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 селищної ради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Заміхановську І.В.</w:t>
      </w:r>
    </w:p>
    <w:p w14:paraId="6FA14C9C" w14:textId="77777777" w:rsidR="000967A4" w:rsidRPr="000967A4" w:rsidRDefault="000967A4" w:rsidP="000967A4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3.   Контроль за виконанням рішення покласти на постійну комісію з прав людини,     </w:t>
      </w:r>
    </w:p>
    <w:p w14:paraId="1A04DFCE" w14:textId="77777777" w:rsidR="000967A4" w:rsidRPr="000967A4" w:rsidRDefault="000967A4" w:rsidP="000967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0967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законності, депутатської діяльності і етики Любашівської селищної ради.</w:t>
      </w:r>
    </w:p>
    <w:p w14:paraId="480AA14D" w14:textId="77777777" w:rsidR="000967A4" w:rsidRPr="000967A4" w:rsidRDefault="000967A4" w:rsidP="000967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ADADB0A" w14:textId="77777777" w:rsidR="000967A4" w:rsidRPr="000967A4" w:rsidRDefault="000967A4" w:rsidP="000967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967A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14:paraId="19120732" w14:textId="77777777" w:rsidR="000967A4" w:rsidRPr="000967A4" w:rsidRDefault="000967A4" w:rsidP="000967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  Любашівський селищний голова                                               Г.А.Павлов</w:t>
      </w:r>
    </w:p>
    <w:p w14:paraId="5F818986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785D4B7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43E2DB3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118C119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DB4B5C6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8AE30AA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0C2EDEE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</w:p>
    <w:p w14:paraId="68F88F3B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29BBC2D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B8ED9D9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24828F5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55811A6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EA9F48D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E837C29" w14:textId="77777777" w:rsidR="006F0898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</w:p>
    <w:p w14:paraId="248D892B" w14:textId="77777777" w:rsidR="006F0898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4D3F928" w14:textId="77777777" w:rsidR="006F0898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30A58C3" w14:textId="77777777" w:rsidR="006F0898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EFBF387" w14:textId="015EDE01" w:rsidR="006F0898" w:rsidRDefault="006F0898" w:rsidP="006F0898">
      <w:pPr>
        <w:shd w:val="clear" w:color="auto" w:fill="FFFFFF"/>
        <w:tabs>
          <w:tab w:val="left" w:pos="673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ПРОЄКТ</w:t>
      </w:r>
      <w:bookmarkStart w:id="0" w:name="_GoBack"/>
      <w:bookmarkEnd w:id="0"/>
    </w:p>
    <w:p w14:paraId="106F9548" w14:textId="77777777" w:rsidR="006F0898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EEF8EE3" w14:textId="23BE9259" w:rsidR="00115A40" w:rsidRPr="00F26C68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</w:t>
      </w:r>
      <w:r w:rsidR="00115A40" w:rsidRPr="00F26C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ЗАТВЕРДЖЕНО</w:t>
      </w:r>
    </w:p>
    <w:p w14:paraId="1A066C1D" w14:textId="1971D1B9" w:rsidR="000967A4" w:rsidRP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26C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</w:t>
      </w:r>
      <w:r w:rsidR="00115A40" w:rsidRPr="00F26C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Любашівської                     </w:t>
      </w:r>
    </w:p>
    <w:p w14:paraId="77499EA3" w14:textId="3574D75B" w:rsidR="00115A40" w:rsidRP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 ради від  </w:t>
      </w:r>
    </w:p>
    <w:p w14:paraId="5E57BCF0" w14:textId="79E7D6C4" w:rsidR="00115A40" w:rsidRPr="00F26C68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26C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115A40" w:rsidRPr="00F26C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 № __________</w:t>
      </w:r>
    </w:p>
    <w:p w14:paraId="66F8286A" w14:textId="77777777" w:rsidR="00115A40" w:rsidRPr="00F26C68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115A40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5933538E" w14:textId="77777777" w:rsidR="00115A40" w:rsidRPr="00F26C68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115A40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211961C1" w14:textId="77777777" w:rsidR="00115A40" w:rsidRPr="00F26C68" w:rsidRDefault="00115A40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26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РЕГЛАМЕНТ</w:t>
      </w:r>
    </w:p>
    <w:p w14:paraId="65C7E38E" w14:textId="30E359BA" w:rsidR="00115A40" w:rsidRPr="000970DA" w:rsidRDefault="005105F7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970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Управління «</w:t>
      </w:r>
      <w:r w:rsidR="00115A40" w:rsidRPr="00F26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Центр надання адміністративних</w:t>
      </w:r>
      <w:r w:rsidRPr="000970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і соціальних</w:t>
      </w:r>
      <w:r w:rsidR="00115A40" w:rsidRPr="00F26C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послуг</w:t>
      </w:r>
      <w:r w:rsidRPr="000970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»</w:t>
      </w:r>
    </w:p>
    <w:p w14:paraId="4071B280" w14:textId="302A7081" w:rsidR="00115A40" w:rsidRPr="000970DA" w:rsidRDefault="005105F7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970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Любашівської </w:t>
      </w:r>
      <w:r w:rsidR="00115A40" w:rsidRPr="000970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селищної ради</w:t>
      </w:r>
    </w:p>
    <w:p w14:paraId="64D9B243" w14:textId="77777777" w:rsidR="00115A40" w:rsidRPr="002E3843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115A40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0E98A569" w14:textId="77777777" w:rsidR="00115A40" w:rsidRPr="00335D54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>1. Загальна частина</w:t>
      </w:r>
    </w:p>
    <w:p w14:paraId="110E644C" w14:textId="77777777" w:rsidR="00115A40" w:rsidRPr="00335D54" w:rsidRDefault="00115A40" w:rsidP="00115A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702A5F18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1.1. Цей Регламент визначає порядок організації роботи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 «Ц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ентр надання адміністративних 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послуг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вської селищної ради (далі – 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), порядок дій адміністраторів 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їх взаємодії із суб’єктами надання адміністративних 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послуг.</w:t>
      </w:r>
    </w:p>
    <w:p w14:paraId="248F115C" w14:textId="0F814A38" w:rsidR="00115A40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У цьому Регламенті терміни вживаються у значенні, наведеному в  Закон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ах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України “Про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іністративні </w:t>
      </w:r>
      <w:r w:rsidRPr="00335D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r w:rsidR="007273A2" w:rsidRPr="00335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«Про </w:t>
      </w:r>
      <w:r w:rsidR="009B6448" w:rsidRPr="00335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соціальні послуги</w:t>
      </w:r>
      <w:r w:rsidR="007273A2" w:rsidRPr="00335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14:paraId="4C2B31D1" w14:textId="02F3EBF1" w:rsidR="00680B0E" w:rsidRPr="00680B0E" w:rsidRDefault="00680B0E" w:rsidP="00680B0E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1.3. 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Затвердження та внесення змін до Регламенту здійснюється рішенням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Любашівської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ради.</w:t>
      </w:r>
    </w:p>
    <w:p w14:paraId="6E08F758" w14:textId="64D936B5" w:rsidR="00680B0E" w:rsidRPr="00335D54" w:rsidRDefault="00680B0E" w:rsidP="00680B0E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Дотримання положень Регламенту є обов’язковим для всіх посадових осіб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 урахуванням норм поведінки посадових осіб виконавчих органів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Любашівської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селищної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ради., а також для суб’єктів надання адміністративних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послуг у частині надання відповідних послуг через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.</w:t>
      </w:r>
    </w:p>
    <w:p w14:paraId="1F99B0CB" w14:textId="403BAF08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Надання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Управлінні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здійснюється з дотриманням таких принципів:</w:t>
      </w:r>
    </w:p>
    <w:p w14:paraId="66202254" w14:textId="17431B3B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верховенства права, у тому числі законності та юридичної визначеності;</w:t>
      </w:r>
    </w:p>
    <w:p w14:paraId="79D1CE66" w14:textId="1A34B944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стабільності;</w:t>
      </w:r>
    </w:p>
    <w:p w14:paraId="00E80FC0" w14:textId="5F424ADD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рівності перед законом;</w:t>
      </w:r>
    </w:p>
    <w:p w14:paraId="61B0F36B" w14:textId="427EAA0D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 відкритості та прозорості;</w:t>
      </w:r>
    </w:p>
    <w:p w14:paraId="5C773254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1.3.5. оперативності та своєчасності;</w:t>
      </w:r>
    </w:p>
    <w:p w14:paraId="63D29961" w14:textId="770A7BE2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.6. доступності інформації про надання адміністративних послуг;</w:t>
      </w:r>
    </w:p>
    <w:p w14:paraId="2153086A" w14:textId="65F7DF4B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.7. захищеності персональних даних;</w:t>
      </w:r>
    </w:p>
    <w:p w14:paraId="09768CC0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1.3.8. раціональної мінімізації кількості документів та процедурних дій, що вимагаються для отримання адміністративних послуг;</w:t>
      </w:r>
    </w:p>
    <w:p w14:paraId="240244BE" w14:textId="77E89F3D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.9. неупередженості та справедливості;</w:t>
      </w:r>
    </w:p>
    <w:p w14:paraId="06140033" w14:textId="3BC597B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 доступності та зручності для суб’єктів звернення.</w:t>
      </w:r>
    </w:p>
    <w:p w14:paraId="48584978" w14:textId="7C442E94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</w:t>
      </w:r>
      <w:r w:rsidR="00591D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B644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своїй діяльності керується Конституцією та законами України, актами Президента України і Кабінету Міністрів України, актами центральних та місцевих органів виконавчої влади, органів місцевого самоврядування, Положенням про </w:t>
      </w:r>
      <w:r w:rsidR="007E790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</w:t>
      </w:r>
      <w:r w:rsidR="00EB5F7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="007E790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</w:t>
      </w:r>
      <w:r w:rsidR="00EB5F7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7E790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Регламентом </w:t>
      </w:r>
      <w:r w:rsidR="007E790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E07491F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2. Вимоги до приміщення, у якому розміщується </w:t>
      </w:r>
      <w:r w:rsidR="007E7902"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Управління</w:t>
      </w:r>
    </w:p>
    <w:p w14:paraId="788D23DE" w14:textId="7C6C1B61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2.1. 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розміщується в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центральній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частині селища або іншому зручному для суб’єктів звернення місці з розвинутою транспортною інфраструктурою. На вході до приміщення розміщуються вивіска з найменуванням 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табличка з інформацією про його місцезнаходження, графік роботи тощо.</w:t>
      </w:r>
    </w:p>
    <w:p w14:paraId="4E9C38E0" w14:textId="03B6B37F" w:rsidR="00115A40" w:rsidRPr="00F26C68" w:rsidRDefault="00115A40" w:rsidP="00591D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2.2. </w:t>
      </w:r>
      <w:r w:rsidR="00591D86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Графік роботи Управління, його комунальних установ затверджується Любашівською селищною радою, з урахуванням вимог законів України «Про адміністративні послуги», «Про соціальні послуги»</w:t>
      </w:r>
      <w:r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A3EBFD7" w14:textId="1134C1D5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Вхід до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облаштовується пандусами для осіб з обмеженими фізичними можливостями та у разі потреби зручними сходами з поручнями. У приміщенні 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облаштовується туалетна кімната з урахуванням потреб осіб з обмеженими фізичними можливостями.</w:t>
      </w:r>
    </w:p>
    <w:p w14:paraId="34528C79" w14:textId="03854A5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прилеглій до 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території передбачається місце безоплатної стоянки автомобільного транспорту суб’єктів звернення. На прилеглих вулицях розміщуються вказівники, на яких зазначається місце розташування 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E3D0FA" w14:textId="16162AC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Приміщення 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поділяється на відкриту та закриту частини:</w:t>
      </w:r>
    </w:p>
    <w:p w14:paraId="07D4EA8E" w14:textId="25E4E858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2.4.1. у відкритій частині здійснюється прийом, консультування, інформування та обслуговування суб’єктів звернення працівниками 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Суб’єкти звернення мають безперешкодний доступ до такої частини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7273A2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Відкрита частина включає: сектор прийому; сектор інформування; сектор очікування; сектор обслуговування. Відкрита частина розміщується на першому  поверсі буді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і; </w:t>
      </w:r>
    </w:p>
    <w:p w14:paraId="0E36F400" w14:textId="7ABB06A0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закрита частина призначена виключно для опрацювання документів, пошти, н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адання консультацій та здійснення попереднього запису суб’єктів звернення на прийом до адміністраторів за допомогою засобів телекомунікації (телефону, електронної пошти, інших засобів зв’язку), а також збереження документів, справ, журналів обліку/реєстрації (розміщення архіву). Вхід до закритої частини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суб’єктам звернення забороняється. Закрита частина розміщується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тому ж поверсі, </w:t>
      </w:r>
      <w:r w:rsidR="00680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відкрита частина.</w:t>
      </w:r>
    </w:p>
    <w:p w14:paraId="6D3B5021" w14:textId="1D603A2F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Сектор прийому облаштовується при вході до приміщення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ньому здійснюється загальне інформування та консультування суб’єктів звернення з питань роботи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7E01AB" w14:textId="4BB190C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Сектор інформування облаштовується з метою ознайомлення суб’єктів звернення з порядком та умовами надання адміністративних</w:t>
      </w:r>
      <w:r w:rsidR="00591D8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послуг. У  секторі інформування розміщуються інформаційні стенди, що містять актуальну, вичерпну інформацію, необхідну для одержання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послуг. Сектор інформування облаштовується столами, стільцями, телефонами, факсимільними апаратами та забезпечується канцелярськими товарами для заповнення суб’єктами звернення необхідних документів. Для висловлення суб’єктами звернення зауважень і пропозицій щодо якості надання адміністративних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 сектор інформування облаштовується відповідною скринькою та книгою відгуків і пропозицій, яка розміщується на видному та доступному місці.</w:t>
      </w:r>
    </w:p>
    <w:p w14:paraId="63048D1C" w14:textId="3BB5A99E" w:rsidR="00115A40" w:rsidRPr="00F26C68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2.7. Сектор очікування розміщується в просторому приміщенні, площа якого визначається залежно від кількості осіб, які звертаються до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протягом дня, та облаштовується столами для оформлення документів та в достатній кількості стільцями, кріслами тощо. У секторі очікування облаштовуються не менш як 10 місць для суб’єктів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звернень. </w:t>
      </w:r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очікування</w:t>
      </w:r>
      <w:r w:rsidR="00F26C68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разі потреби</w:t>
      </w:r>
      <w:r w:rsidR="00F26C68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обладнується автоматизованою системою керування чергою, системою звукового інформування осіб похилого ві</w:t>
      </w:r>
      <w:proofErr w:type="gramStart"/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>ку та</w:t>
      </w:r>
      <w:proofErr w:type="gramEnd"/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тих, що мають вади зору. Для оплати адміністративного збору в секторі очікування розміщуються банкомати, платіжні термінали.</w:t>
      </w:r>
    </w:p>
    <w:p w14:paraId="40A65D23" w14:textId="7798CC03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Сектор обслуговування утворюється за принципом відкритості розміщення робочих місць. Для швидкого обслуговування суб’єктів звернень робочі місця адміністраторів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розподіляються за принципом прийому і видачі документів. Кожне робоче місце для прийому суб’єктів звернення має інформаційну табличку із зазначенням номера такого місця, прізвища, імені, по батькові та посади адміністратора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/спеціаліста</w:t>
      </w:r>
      <w:r w:rsidR="005B204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94FEC1E" w14:textId="760C670D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2.9. Площа секторів очікування та обслуговування є достатньою для забезпечення зручних та комфортних умов для прийому суб’єктів звернення і роботи адміністраторів </w:t>
      </w:r>
      <w:r w:rsidR="005B204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A222407" w14:textId="6417793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 На інформаційних стендах розміщується інформація, зокрема, про:</w:t>
      </w:r>
    </w:p>
    <w:p w14:paraId="2ACCCDF3" w14:textId="746D869E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2.10.1. найменування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його місцезнаходження та місцезнаходження віддалених місць для роботи адміністраторів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утворення), номери телефонів для довідок, факсу, адресу веб-сайту, електронної пошти;  </w:t>
      </w:r>
    </w:p>
    <w:p w14:paraId="0E05BFF8" w14:textId="3D7D00C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2.10.2. графік роботи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віддалених місць для роботи адміністраторів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 (прийомні дні та години, вихідні дні);</w:t>
      </w:r>
    </w:p>
    <w:p w14:paraId="0DA234A9" w14:textId="2862CEF5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2.10.3. перелік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послуг, які надаються через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віддалені місця для роботи адміністраторів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утворення), та відповідні інформаційні картки адміністративних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послуг;</w:t>
      </w:r>
    </w:p>
    <w:p w14:paraId="22CAE747" w14:textId="4F6E5352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2.10.4. строки надання адміністративних </w:t>
      </w:r>
      <w:r w:rsidR="002E3843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послуг;</w:t>
      </w:r>
    </w:p>
    <w:p w14:paraId="5D1744E4" w14:textId="2DD884D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2.10.5. бланки заяв та інших документів, необхідних для звернення за отриманням адміністративних </w:t>
      </w:r>
      <w:r w:rsidR="005B251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послуг, а також зразки їх заповнення;</w:t>
      </w:r>
    </w:p>
    <w:p w14:paraId="60BABE36" w14:textId="0C0553D0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2.10.6. платіжні реквізити для оплати платних адміністративних </w:t>
      </w:r>
      <w:r w:rsidR="005B251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послуг;</w:t>
      </w:r>
    </w:p>
    <w:p w14:paraId="77200038" w14:textId="36D5FCA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2.10.7. супутні послуги, які надаються в приміщенні </w:t>
      </w:r>
      <w:r w:rsidR="005B251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Упралвння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1B5660C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2.10.8. прізвище, ім’я, по батькові керівника Центру, контактні телефони, адресу електронної пошти;</w:t>
      </w:r>
    </w:p>
    <w:p w14:paraId="47189E05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2.10.9. користування інформаційним терміналом (у разі його наявності);</w:t>
      </w:r>
    </w:p>
    <w:p w14:paraId="54E64048" w14:textId="3ADF38A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2.10.1</w:t>
      </w:r>
      <w:r w:rsidR="005B251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Положення про</w:t>
      </w:r>
      <w:r w:rsidR="005B251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203CDC94" w14:textId="38FF2E6E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2.10.1</w:t>
      </w:r>
      <w:r w:rsidR="005B2518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Регламент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14:paraId="59E6EC1C" w14:textId="1A6CF6D8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2.11. Перелік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послуг, які надаються через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віддалені місця для роботи адміністраторів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утворення), розміщується у доступному та зручному для суб’єктів звернення місці, у тому числі на інформаційному терміналі. Адміністративні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соціальні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 в переліку групуються за моделлю життєвих ситуацій суб’єктів звернення та/або сферами правовідносин (законодавства), та/або суб’єктами надання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послуг.</w:t>
      </w:r>
    </w:p>
    <w:p w14:paraId="0AFCDFEB" w14:textId="2AE20BF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2.12. Бланки заяв, необхідні для замовлення адміністративних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послуг, розміщуються у секторі інформування на стендах-накопичувачах або стелажах із вільним доступом до них суб’єктів звернення.</w:t>
      </w:r>
    </w:p>
    <w:p w14:paraId="2226E382" w14:textId="14EC3BC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2.13. Особам з обмеженими фізичними можливостями забезпечується вільний доступ до інформації, зазначеної у цьому розділі, шляхом розміщення буклетів, інформаційних листів на стендах, інших необхідних матеріалів, надрукованих шрифтом Брайля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(за потреби)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8F2C15A" w14:textId="6B760BF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2.14. На основі узгоджених рішень із суб’єктами надання адміністративних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 у роботі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беруть участь представники суб’єктів надання адміністративних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 для надання консультацій.</w:t>
      </w:r>
    </w:p>
    <w:p w14:paraId="23F06C58" w14:textId="2CD22FC9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3. Інформаційна та технологічна картки адміністративних </w:t>
      </w:r>
      <w:r w:rsidR="005E4116"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і соіальних </w:t>
      </w: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послуг</w:t>
      </w:r>
    </w:p>
    <w:p w14:paraId="59792CDB" w14:textId="1720FBC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Селищна рада та керівник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можуть вносити суб’єктові надання адміністративної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 пропозиції щодо необхідності внесення змін до затверджених інформаційних та технологічних карток адміністративних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 (у тому числі для документів дозвільного характеру у сфері господарської діяльності).</w:t>
      </w:r>
    </w:p>
    <w:p w14:paraId="18BAB2F0" w14:textId="2B6DE58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У разі внесення змін до законодавства щодо надання адміністративної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/соціальниї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 суб’єкт її надання своєчасно інформує про це селищну раду, а також керівника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готує пропозиції щодо внесення змін до інформаційних та/або технологічних карток згідно із законодавством.</w:t>
      </w:r>
    </w:p>
    <w:p w14:paraId="4D6F71CF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476DFD1F" w14:textId="013A8C09" w:rsidR="00115A40" w:rsidRPr="00335D54" w:rsidRDefault="00115A40" w:rsidP="005E4116">
      <w:pPr>
        <w:shd w:val="clear" w:color="auto" w:fill="FFFFFF"/>
        <w:tabs>
          <w:tab w:val="left" w:pos="601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4. Робота інформаційного підрозділу </w:t>
      </w:r>
      <w:r w:rsidR="005E4116"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>Управління</w:t>
      </w:r>
    </w:p>
    <w:p w14:paraId="61946FD1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169291CD" w14:textId="6275EA62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онсультування із загальних питань організації роботи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порядку прийому суб’єктів звернення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Управлінні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здійснює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FF01608" w14:textId="6934C71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Адміністратор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також: інформує за усним клопотанням суб’єкта звернення про належність порушеного ним питання до компетенції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консультує суб’єктів звернення щодо порядку внесення плати (адміністративного збору) за надання платних адміністративних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послуг, надає інформацію про платіжні реквізити для сплати адміністративного збору; надає іншу інформацію та допомогу, що необхідні суб’єктам звернення.</w:t>
      </w:r>
    </w:p>
    <w:p w14:paraId="0889D8FF" w14:textId="7502AC72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На веб-сайті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селищної ради в розділі “Адміністративні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соціальні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послуги” розміщується інформація, зазначена в пункті 2.10. цього Регламенту, а також відомості про місце розташування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(віддалених місць для роботи адміністраторів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утворення)), найближчі зупинки громадського транспорту, під’їзні шляхи, місця паркування, інша корисна для суб’єктів звернення інформація.</w:t>
      </w:r>
    </w:p>
    <w:p w14:paraId="2B5668EF" w14:textId="616F6AAC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Інформація, яка розміщується в приміщенн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 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та на веб-сайті селищної ради в розділі “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іністративні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соціальні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послуги”, повинна бути актуальною і вичерпною. Інформація на веб-сайті селищної ради в розділі “Адміністративні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соціальні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послуги” має бути зручною для пошуку та копіювання.</w:t>
      </w:r>
    </w:p>
    <w:p w14:paraId="2D045871" w14:textId="7C4B3E7D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 Суб’єктам звернення, які звернулися до </w:t>
      </w:r>
      <w:r w:rsidR="005E4116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використанням  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соіальних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Упралвінням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спосіб, аналогічний способу звернення.</w:t>
      </w:r>
    </w:p>
    <w:p w14:paraId="1AC1A2B2" w14:textId="04F42075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5. Керування чергою в </w:t>
      </w:r>
      <w:r w:rsidR="004E0954"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>Управлінні</w:t>
      </w:r>
    </w:p>
    <w:p w14:paraId="118B509F" w14:textId="12702EBB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З метою забезпечення зручності та оперативності обслуговування суб’єктів звернення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Управлінні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вживаються заходи для запобігання утворенню черги, а у разі її утворення – для керування чергою.</w:t>
      </w:r>
    </w:p>
    <w:p w14:paraId="3571DE57" w14:textId="6E20DD33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Управлінні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 здійснюватися попередній запис суб’єктів звернення на прийом до адміністратора на визначену дату та час. Попередній запис може здійснюватися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шляхом особистого звернення до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та/або електронної реєстрації на веб-сайті селищної ради в розділі “Адміністративні </w:t>
      </w:r>
      <w:r w:rsidR="004E0954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соціальні </w:t>
      </w:r>
      <w:r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послуги”.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Прийом суб’єктів звернення, які зареєструвалися шляхом попереднього запису, здійснюється у визначені керівником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години.</w:t>
      </w:r>
    </w:p>
    <w:p w14:paraId="6C6B7B21" w14:textId="2E130223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 здійснювати керування чергою в інший спосіб, гарантуючи дотримання принципу рівності суб’єктів звернення.</w:t>
      </w:r>
    </w:p>
    <w:p w14:paraId="725FA4C9" w14:textId="33BF3973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6. Прийняття заяви та інших документів</w:t>
      </w:r>
      <w:r w:rsidR="004E0954"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в Управлінн</w:t>
      </w: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і</w:t>
      </w:r>
    </w:p>
    <w:p w14:paraId="5A41A057" w14:textId="328CA09B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Прийняття від суб’єкта звернення заяви та інших документів, необхідних для надання адміністративної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 (далі – вхідний пакет документів), та повернення документів з результатом надання адміністративної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 (далі – вихідний пакет документів) здійснюється виключно в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або віддалених місцях для роботи адміністраторів такого Центру (в разі їх утворення).  </w:t>
      </w:r>
    </w:p>
    <w:p w14:paraId="22B1040C" w14:textId="4EF6CAB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 заяв для отримання адміністративних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/соціальних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від фізичних осіб, у тому числі фізичних осіб – підприємців, здійснюється незалежно від реєстрації їх місця проживання, крім випадків, передбачених законом.</w:t>
      </w:r>
    </w:p>
    <w:p w14:paraId="7BF4FD0C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 від юридичних осіб приймаються за місцезнаходженням таких осіб або у випадках, передбачених законом, за місцем провадження діяльності або місцезнаходженням відповідних об’єктів, якщо інше не встановлено законом.</w:t>
      </w:r>
    </w:p>
    <w:p w14:paraId="009CBA83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анулювання) документів дозвільного характеру, які оформлені  дозвільними органами, та зареєстрованих декларацій здійснюються</w:t>
      </w:r>
      <w:r w:rsidRPr="00335D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 до Закону України “Про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дозвільну систему у сфері господарської діяльності”.</w:t>
      </w:r>
    </w:p>
    <w:p w14:paraId="17ABDE87" w14:textId="08FBFC9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Суб’єкт звернення має право подати вхідний пакет документів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управлінн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 (віддаленому місці для роботи адміністратора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утворення)) особисто, через представника (законного представника), надіслати його поштою (рекомендованим листом з описом вкладення) або у випадках, передбачених законом, за допомогою засобів телекомунікаційного зв’язку.</w:t>
      </w:r>
    </w:p>
    <w:p w14:paraId="37849798" w14:textId="5907EDC3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Заява для отримання адміністративної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 в електронній формі подається через Єдиний державний портал адміністративних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/соціальних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послуг, у тому числі через інтегровані з ним інформаційні системи державних органів та органів місцевого самоврядування.</w:t>
      </w:r>
    </w:p>
    <w:p w14:paraId="74B86A2F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У разі коли вхідний пакет документів подається представником (законним представником) суб’єкта звернення, пред’являються документи, що посвідчують особу представника та засвідчують його повноваження. </w:t>
      </w:r>
    </w:p>
    <w:p w14:paraId="61CE8C00" w14:textId="5DA14185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6.5.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перевіряє відповідність вхідного пакета документів інформаційній картці адміністративної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послуги, у разі потреби  надає допомогу суб’єктові звернення в заповненні бланка заяви. У разі коли   суб’єкт звернення припустився неточностей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14:paraId="4BDDD0D0" w14:textId="3D6CA5C4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6.6.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14:paraId="17A09C39" w14:textId="6B8272CE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6.7. Суб’єктові звернення надається примірник опису вхідного пакета документів за підписом і з проставленням печатки (штампа) відповідного адміністратора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також відмітки про дату та час його складання. Другий примірник опису вхідного пакета документів зберігається в матеріалах справи, а у разі здійснення в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електронного документообігу – в електронній формі.</w:t>
      </w:r>
    </w:p>
    <w:p w14:paraId="0795F653" w14:textId="7D945583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6.8. Адміністратор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послуги, а також бажане місце отримання оформленого результату надання адміністративної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 (в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віддаленому місці для роботи адміністратора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/спеціаліста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 утворення)), 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14:paraId="1F1789CC" w14:textId="7347B9EF" w:rsidR="00115A40" w:rsidRPr="00F26C68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6.9.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здійснює реєстрацію вхідного пакета документів шляхом внесення даних до журналу реєстрації (у паперовій та/або електронній формі).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  <w:r w:rsidR="00240339" w:rsidRPr="00240339">
        <w:t xml:space="preserve"> 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Реєстрація та облік заяв, вхідних пакетів документів та оформлених результатів надання адміністративних</w:t>
      </w:r>
      <w:r w:rsidR="00F26C68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послуг 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Управлінні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віддаленом</w:t>
      </w:r>
      <w:proofErr w:type="gramStart"/>
      <w:r w:rsidR="00240339"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gramEnd"/>
      <w:r w:rsidR="00240339" w:rsidRP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разі утворення)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робочому місці адміністратора може вестися централізовано</w:t>
      </w:r>
      <w:r w:rsidR="004A6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використовуючи </w:t>
      </w:r>
      <w:r w:rsidR="004A655E" w:rsidRPr="004A655E">
        <w:rPr>
          <w:rStyle w:val="a4"/>
          <w:rFonts w:ascii="Times New Roman" w:hAnsi="Times New Roman" w:cs="Times New Roman"/>
          <w:b w:val="0"/>
          <w:color w:val="1F1F1F"/>
          <w:sz w:val="24"/>
          <w:szCs w:val="24"/>
          <w:shd w:val="clear" w:color="auto" w:fill="FFFFFF"/>
          <w:lang w:val="uk-UA"/>
        </w:rPr>
        <w:t>п</w:t>
      </w:r>
      <w:r w:rsidR="004A655E" w:rsidRPr="004A655E">
        <w:rPr>
          <w:rStyle w:val="a4"/>
          <w:rFonts w:ascii="Times New Roman" w:hAnsi="Times New Roman" w:cs="Times New Roman"/>
          <w:b w:val="0"/>
          <w:color w:val="1F1F1F"/>
          <w:sz w:val="24"/>
          <w:szCs w:val="24"/>
          <w:shd w:val="clear" w:color="auto" w:fill="FFFFFF"/>
        </w:rPr>
        <w:t>рограмний комплекс автоматизації центрів надання адміністративних послуг (Інформаційна система «Вулик»)</w:t>
      </w:r>
      <w:r w:rsidR="00240339" w:rsidRPr="00F2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окремо в </w:t>
      </w:r>
      <w:r w:rsidR="00F26C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Управлінні.</w:t>
      </w:r>
    </w:p>
    <w:p w14:paraId="650E2110" w14:textId="246BFAA1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6.10. 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пізніше наступного робочого дня надсилає суб’єктові звернення опис вхідного пакета документів електронною поштою (та/або його відскановану копію) чи іншими засобами телекомунікаційного зв’язку або поштовим відправленням.</w:t>
      </w:r>
    </w:p>
    <w:p w14:paraId="1A19B1D9" w14:textId="3E644E25" w:rsidR="00115A40" w:rsidRPr="00335D54" w:rsidRDefault="002D28FD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6.11. Після реєстрації вхідного пакета документів адміністратор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формує справу у паперовій та/або електронній формі та в разі потреби здійснює її копіювання та/або сканування.</w:t>
      </w:r>
    </w:p>
    <w:p w14:paraId="66C89D5C" w14:textId="24677A46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6.12. Інформацію про вчинені дії адміністратор </w:t>
      </w:r>
      <w:r w:rsidR="004E095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14:paraId="3949AFDC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7. Опрацювання справи (вхідного пакета документів)</w:t>
      </w:r>
    </w:p>
    <w:p w14:paraId="5AEC51CD" w14:textId="37C09215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Після вчинення дій, передбачених пунктами 6.1. – 6.12. цього Регламенту, адміністратор </w:t>
      </w:r>
      <w:r w:rsidR="004D520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зобов’язаний невідкладно, але не пізніше наступного робочого дня з урахуванням графіка роботи суб’єкта надання адміністративної</w:t>
      </w:r>
      <w:r w:rsidR="004D520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послуги, надіслати (передати) вхідний пакет документів суб’єктові надання адміністративної</w:t>
      </w:r>
      <w:r w:rsidR="004D520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 та найменування суб’єкта надання адміністративної</w:t>
      </w:r>
      <w:r w:rsidR="004D520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послуги, до якого її надіслано, та проставленням печатки (штампа) адміністратора, що передав відповідні документи.</w:t>
      </w:r>
    </w:p>
    <w:p w14:paraId="370B1F3B" w14:textId="20D03B7F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Передача справ у паперовій формі від </w:t>
      </w:r>
      <w:r w:rsidR="004D520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(віддаленого місця для роботи адміністратора </w:t>
      </w:r>
      <w:r w:rsidR="004D5204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утворення) до суб’єкта надання адміністративної послуги здійснюється в порядку, визначеному селищною радою, </w:t>
      </w:r>
      <w:r w:rsidRPr="004A65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 не менше ніж один раз</w:t>
      </w:r>
      <w:r w:rsidRPr="00335D5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протягом робочого дня, шляхом отримання справ представником суб’єкта надання адміністративної послуги або їх доставки працівником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надсилання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відсканованих документів з використанням засобів телекомунікаційного зв’язку або в інший спосіб.</w:t>
      </w:r>
    </w:p>
    <w:p w14:paraId="40B9FAA4" w14:textId="4DBECAEB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Після отримання справи суб’єкт надання адміністративної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14:paraId="39D1481C" w14:textId="33881FB3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Контроль за дотриманням суб’єктами надання адміністративних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/соціальних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строків розгляду справ та прийняття рішень здійснюється адміністраторами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відповідно до розподілу обов’язків за рішенням керівника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CC82E8B" w14:textId="328A61A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 Суб’єкт надання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іністративної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 зобов’язаний:</w:t>
      </w:r>
    </w:p>
    <w:p w14:paraId="16AE5235" w14:textId="2AAB16C4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7.5.1. своєчасно інформувати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перешкоди у дотриманні строку розгляду справи та прийнятті рішення, інші проблеми, що виникають під час розгляду справи;</w:t>
      </w:r>
    </w:p>
    <w:p w14:paraId="38946836" w14:textId="7F7D830A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7.5.2. надавати інформацію на усний або письмовий запит (у тому числі шляхом надсилання на адресу електронної пошти)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іністратора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хід розгляду справи.</w:t>
      </w:r>
    </w:p>
    <w:p w14:paraId="306EB8DC" w14:textId="7A2947B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7.6. У разі виявлення факту порушення вимог законодавства щодо розгляду справи (строків надання адміністративної</w:t>
      </w:r>
      <w:r w:rsidR="00CF78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 тощо) адміністратор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невідкладно інформує про це керівника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2B69036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8. Передача вихідного пакета документів суб’єктові звернення</w:t>
      </w:r>
    </w:p>
    <w:p w14:paraId="50C73B9C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0646C144" w14:textId="73A57532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Суб’єкт надання адміністративної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 невідкладно, але не пізніше наступного робочого дня після оформлення результату надання адміністративної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послуги, формує вихідний пакет документів та передає його до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(віддаленого місця для роботи адміністратора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утворення), про що зазначається в листі про проходження справи.</w:t>
      </w:r>
    </w:p>
    <w:p w14:paraId="63710F43" w14:textId="3F72087F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8.2.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невідкладно у день надходження вихідного пакета документів повідомляє про результат надання адміністративної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  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14:paraId="03637B13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Вихідний пакет документів передається суб’єктові звернення особисто під підпис (у тому числі його представникові (законному представникові))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14:paraId="1A753370" w14:textId="7777777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Інформація про дату отримання вихідного пакета документів суб’єктом звернення зазначається в описі вхідного пакета документів або в іншому документі, визначеному селищною радою, і зберігається в матеріалах справи.</w:t>
      </w:r>
    </w:p>
    <w:p w14:paraId="1D43179F" w14:textId="6223A64D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 У разі незазначення суб’єктом звернення зручного для нього способу отримання вихідного пакета документів або його неотримання в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в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потім передається для архівного зберігання.</w:t>
      </w:r>
    </w:p>
    <w:p w14:paraId="31EDF0A0" w14:textId="18176E58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8.5. У разі коли адміністративна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/соціальна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послуга надається невідкладно, адміністратор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реєструє інформацію про результат розгляду справи в журналі (у паперовій та/або в електронній формі), негайно формує вихідний пакет документів та передає його суб’єктові звернення.</w:t>
      </w:r>
    </w:p>
    <w:p w14:paraId="1034F701" w14:textId="287ADA87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8.6. Відповідальність за несвоєчасне та неналежне надання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несуть суб’єкти надання таких послуг та в межах  повноважень адміністратори і керівник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AF4A2C6" w14:textId="14B0D1DF" w:rsidR="00115A40" w:rsidRPr="00335D54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8.7. Інформація про кожну надану </w:t>
      </w:r>
      <w:proofErr w:type="gramStart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іністративну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/соціальну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послугу та справу у паперовій (копія) та/або електронній (відскановані документи) формі, зокрема заява суб’єкта звернення, опис вхідного пакета документів, лист про проходження справи та результат надання адміністративної послуги,  зберігається 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Управлінн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і.</w:t>
      </w:r>
    </w:p>
    <w:p w14:paraId="683B95A3" w14:textId="77777777" w:rsidR="00B33015" w:rsidRDefault="00115A40" w:rsidP="00B33015">
      <w:pPr>
        <w:shd w:val="clear" w:color="auto" w:fill="FFFFFF"/>
        <w:spacing w:after="225" w:line="240" w:lineRule="auto"/>
        <w:jc w:val="both"/>
        <w:textAlignment w:val="baseline"/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 матеріали справи зберігаються у суб’єкта надання адміністративної</w:t>
      </w:r>
      <w:r w:rsidR="00025A9B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послуги.</w:t>
      </w:r>
      <w:r w:rsidR="00B33015" w:rsidRPr="00B33015">
        <w:t xml:space="preserve"> </w:t>
      </w:r>
    </w:p>
    <w:p w14:paraId="51BE1CC5" w14:textId="48D9338A" w:rsidR="00B33015" w:rsidRPr="001D6B21" w:rsidRDefault="00B33015" w:rsidP="00B3301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6B21">
        <w:rPr>
          <w:b/>
          <w:bCs/>
          <w:lang w:val="uk-UA"/>
        </w:rPr>
        <w:t>9.</w:t>
      </w:r>
      <w:r w:rsidRPr="001D6B21">
        <w:rPr>
          <w:lang w:val="uk-UA"/>
        </w:rPr>
        <w:t xml:space="preserve"> </w:t>
      </w:r>
      <w:r w:rsidRPr="001D6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Особливості діяльності </w:t>
      </w:r>
      <w:proofErr w:type="gramStart"/>
      <w:r w:rsidRPr="001D6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</w:t>
      </w:r>
      <w:proofErr w:type="gramEnd"/>
      <w:r w:rsidRPr="001D6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іністратора </w:t>
      </w:r>
      <w:r w:rsidRPr="001D6B2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Управління</w:t>
      </w:r>
      <w:r w:rsidRPr="001D6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що працю</w:t>
      </w:r>
      <w:r w:rsidR="001D6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є на віддаленому робочому місці</w:t>
      </w:r>
      <w:r w:rsidR="001D6B2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14:paraId="30FB0169" w14:textId="0CB0E014" w:rsidR="00B33015" w:rsidRPr="001D6B21" w:rsidRDefault="00B33015" w:rsidP="00B3301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9.1.</w:t>
      </w:r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дміністратор </w:t>
      </w:r>
      <w:r w:rsidRPr="001D6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працює на віддаленому робочому місці, може обслуговувати населення одного або декількох старостинських округів.</w:t>
      </w:r>
    </w:p>
    <w:p w14:paraId="761575B8" w14:textId="4F9B1CE8" w:rsidR="00115A40" w:rsidRPr="001D6B21" w:rsidRDefault="00B33015" w:rsidP="00B3301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9.2</w:t>
      </w:r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gramStart"/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ішенням </w:t>
      </w:r>
      <w:r w:rsidRPr="001D6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</w:t>
      </w:r>
      <w:r w:rsidRPr="001D6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окремі завдання адміністратора, пов’язані з наданням адміністративних</w:t>
      </w:r>
      <w:r w:rsidR="001D6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1D6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послуг, отриманням заяв та документів, видачею результатів надання адміністративних послуг, може здійснювати староста.</w:t>
      </w:r>
    </w:p>
    <w:p w14:paraId="71618C3E" w14:textId="77777777" w:rsidR="00025A9B" w:rsidRPr="00335D54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В.о.начальника Управління </w:t>
      </w:r>
    </w:p>
    <w:p w14:paraId="30521459" w14:textId="464E217B" w:rsidR="00115A40" w:rsidRPr="00335D54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«Центр надання адміністративних</w:t>
      </w:r>
    </w:p>
    <w:p w14:paraId="3E67485F" w14:textId="4CFBB4A0" w:rsidR="00025A9B" w:rsidRPr="00335D54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 соціальних послуг»</w:t>
      </w:r>
    </w:p>
    <w:p w14:paraId="644349F9" w14:textId="38CB132D" w:rsidR="00025A9B" w:rsidRPr="00335D54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Любашівської селищної ради                                                      І.В. Заміхановська</w:t>
      </w:r>
    </w:p>
    <w:p w14:paraId="61AB7538" w14:textId="09BCD750" w:rsidR="00025A9B" w:rsidRPr="00335D54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C9CD61B" w14:textId="77777777" w:rsidR="00025A9B" w:rsidRPr="00335D54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138597D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953256F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4D89548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6A13E70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790AB6B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47CF89F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39BE458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7191DC0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01DC9AC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3DC4275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9457A0D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1E3B5EE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0984538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3093794" w14:textId="77777777" w:rsidR="00240339" w:rsidRPr="00F362F8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891130A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094542D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56E31C5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F7809F0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B221EF1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709ECFA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2D4FC2C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FDB1D84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40842C5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BF6561D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4524226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2C05457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7E36196" w14:textId="6CA4381A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Аналіз регуляторного впливу</w:t>
      </w:r>
    </w:p>
    <w:p w14:paraId="4923ADBB" w14:textId="27C156E4" w:rsidR="00115A40" w:rsidRPr="00335D54" w:rsidRDefault="002753E7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</w:t>
      </w:r>
      <w:r w:rsidR="002403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а </w:t>
      </w:r>
      <w:r w:rsidR="00115A40"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B57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проєкт </w:t>
      </w:r>
      <w:r w:rsidR="00115A40"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рішення селищної ради</w:t>
      </w:r>
    </w:p>
    <w:p w14:paraId="78CCAA88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«Про затвердження Регламенту</w:t>
      </w:r>
    </w:p>
    <w:p w14:paraId="32639F5D" w14:textId="77777777" w:rsidR="00066F10" w:rsidRPr="00335D54" w:rsidRDefault="00066F10" w:rsidP="00066F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Управління «</w:t>
      </w:r>
      <w:r w:rsidR="00115A40"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Центру надання </w:t>
      </w:r>
    </w:p>
    <w:p w14:paraId="2F515FE1" w14:textId="77777777" w:rsidR="00066F10" w:rsidRPr="00335D54" w:rsidRDefault="00115A40" w:rsidP="00066F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адміністративних </w:t>
      </w:r>
      <w:r w:rsidR="00066F10"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і соціальних </w:t>
      </w: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послуг</w:t>
      </w:r>
      <w:r w:rsidR="00066F10"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» </w:t>
      </w:r>
    </w:p>
    <w:p w14:paraId="3473371C" w14:textId="7EFF0A6B" w:rsidR="00115A40" w:rsidRPr="00335D54" w:rsidRDefault="00066F1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Любашівської </w:t>
      </w:r>
      <w:r w:rsidR="00115A40"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селищної ради»</w:t>
      </w:r>
    </w:p>
    <w:p w14:paraId="431600F1" w14:textId="77777777" w:rsidR="00115A40" w:rsidRPr="00335D54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FC155C4" w14:textId="1C9A6F32" w:rsidR="00066F10" w:rsidRPr="00335D54" w:rsidRDefault="00115A40" w:rsidP="00066F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Даний аналіз регуляторного впливу розроблений на виконання та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дотриманням вимог Закону України «Про засади державної регуляторної політики у сфері господарської діяльності» і Методики проведення аналізу впливу регуляторного акта, затвердженої постановою Кабінету Міністрів України від 11 березня 2004 року № 308 (із змінами), що визначає правові й організаційні заходи реалізації проекту ріше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ння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 ради </w:t>
      </w:r>
      <w:r w:rsidR="00066F10"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«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 затвердження Регламенту </w:t>
      </w:r>
      <w:bookmarkStart w:id="1" w:name="_Hlk61015000"/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Управління «Центру надання адміністративних і соціальних послуг» Любашівської селищної ради»</w:t>
      </w:r>
    </w:p>
    <w:bookmarkEnd w:id="1"/>
    <w:p w14:paraId="6BA8980B" w14:textId="77777777" w:rsidR="00066F10" w:rsidRPr="00335D54" w:rsidRDefault="00066F10" w:rsidP="00066F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1399524" w14:textId="77777777" w:rsidR="002753E7" w:rsidRPr="002753E7" w:rsidRDefault="00115A40" w:rsidP="002753E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І. </w:t>
      </w:r>
      <w:r w:rsidR="002753E7" w:rsidRPr="0027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Визначення та аналіз проблеми, яку пропонується розв’язати</w:t>
      </w:r>
      <w:r w:rsidR="002753E7" w:rsidRPr="002753E7">
        <w:rPr>
          <w:rFonts w:ascii="Times New Roman" w:eastAsia="Calibri" w:hAnsi="Times New Roman" w:cs="Times New Roman"/>
          <w:b/>
          <w:bCs/>
          <w:sz w:val="24"/>
          <w:szCs w:val="24"/>
        </w:rPr>
        <w:t>  </w:t>
      </w:r>
    </w:p>
    <w:p w14:paraId="491B781F" w14:textId="77777777" w:rsidR="002753E7" w:rsidRPr="002753E7" w:rsidRDefault="002753E7" w:rsidP="002753E7">
      <w:pPr>
        <w:spacing w:after="20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753E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Опис проблеми:</w:t>
      </w:r>
    </w:p>
    <w:p w14:paraId="3B69563C" w14:textId="3DDC1959" w:rsidR="00115A40" w:rsidRPr="004A788D" w:rsidRDefault="00115A40" w:rsidP="002753E7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Створення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Управління «Центру надання адміністративних і соціальних послуг» Любашівської селищної ради»</w:t>
      </w:r>
      <w:r w:rsidR="00066F10"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(далі –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 має на меті забезпечити дотримання та реалізацію принципів «організаційної єдності» та «єдиного вікна» при організації надання встановленого переліку адміністративних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 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 через адміністраторів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шляхом їх взаємодії з суб’єктами надання адміністративних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Pr="002753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 та суб’єктами звернень. </w:t>
      </w: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Функціонування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Упрвління</w:t>
      </w: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має надати можливість отримувати адміністративні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соціальні </w:t>
      </w: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послуги в одному приміщенні та за чіткою процедурою, що значно зменшуватиме часові та фізичні затрати мешканців селищної громади та суб’єктів господарювання, а також мінімізуватиме корупційні ризики під час надання адміністративних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послуг.</w:t>
      </w:r>
    </w:p>
    <w:p w14:paraId="531E1842" w14:textId="2760D3C5" w:rsidR="00115A40" w:rsidRPr="00F362F8" w:rsidRDefault="00115A40" w:rsidP="00066F10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B0F0"/>
          <w:sz w:val="24"/>
          <w:szCs w:val="24"/>
          <w:lang w:val="uk-UA" w:eastAsia="ru-RU"/>
        </w:rPr>
      </w:pP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Адже на цей час, за умови відсутності затвердженого порядку взаємодії між учасниками процесу надання адміністративних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 суб’єкти звернення вимушені звертатися до суб’єктів надання адміністративних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 безпосередньо, які розміщуються в різних </w:t>
      </w:r>
      <w:r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A78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приміщеннях та працюють за власними графіками прийому відвідувачів. </w:t>
      </w:r>
    </w:p>
    <w:p w14:paraId="44957B5C" w14:textId="7232F152" w:rsidR="00115A40" w:rsidRPr="00335D54" w:rsidRDefault="001D6B21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Постановою Кабінету Міністрів України від 01 серпня 2013 року № 558 «Про затвердження Примірного регламенту центру надання адміністративних послуг» органам місцевого самоврядування у своїй діяльності рекомендовано керуватися Примірним регламентом з питань забезпечення функціонування таких Центрів. Крім того, постановою Кабінету Міністрів України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22 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есня 2016 року № 652 були внесе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ні суттєві зміни до Примірного регламенту центру надання адміністративних послуг, зокрема з’явилися норми, якими передбачено можливість для представників суб’єктів надання адміністративних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 брати участь у роботі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115A40" w:rsidRPr="00F362F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частині надання консультацій суб’єктам звернень.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 більш детально регламентовано порядок надання консультацій суб’єктам звернень та прийому від них документів працівниками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встановлено екстериторіальність в отриманні адміністративних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 через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запроваджено процедуру подачі заяви на отримання адміністративних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послуг, у тому числі засобами телекомунікаційного зв’язку тощо.</w:t>
      </w:r>
    </w:p>
    <w:p w14:paraId="35AA5B07" w14:textId="48A90582" w:rsidR="00115A40" w:rsidRPr="00335D54" w:rsidRDefault="001D6B21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Враховуючи законодавчу норму, а саме статтю 12 Закону України «Про </w:t>
      </w:r>
      <w:proofErr w:type="gramStart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іністративні послуги»,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17.12.2020 року Радою прийняте рішення про затвердження </w:t>
      </w:r>
      <w:r w:rsidR="00066F1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положення про Управління, тож, </w:t>
      </w:r>
      <w:r w:rsidR="00236951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6951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потреба  в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затвердженн</w:t>
      </w:r>
      <w:r w:rsidR="00236951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документів, регламентуючих роботу </w:t>
      </w:r>
      <w:r w:rsidR="00236951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постає нагальна </w:t>
      </w:r>
      <w:r w:rsidR="00236951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необхідність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щодо розробки та подальшого прийняття Регламенту </w:t>
      </w:r>
      <w:r w:rsidR="00236951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відповідно до вимог чинного законодавства України.</w:t>
      </w:r>
    </w:p>
    <w:p w14:paraId="6372F6E1" w14:textId="17451702" w:rsidR="00115A40" w:rsidRPr="00335D54" w:rsidRDefault="001D6B21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допомогою введення в дію </w:t>
      </w:r>
      <w:proofErr w:type="gramStart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селищної  ради «Про затвердження Регламенту 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Управлння «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 надання адміністративних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 Любашіської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селищної рад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передбачається виконання вимог законів України «Про адміністративні послуги», </w:t>
      </w:r>
      <w:r w:rsidR="00AC0B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«Про соціальні послуги»,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«Про дозвільну систему у сфері господарської діяльності», постанови Кабінету Міністрів України від 01 серпня 2013 року № 588 «Про затвердження Примірного регламенту центру надання </w:t>
      </w:r>
      <w:proofErr w:type="gramStart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послуг» (із змінами) та встановлення чіткого і зрозумілого алгоритму дій адміністраторів 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суб’єктів надання адміністративних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/соціальних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послуг, що дозволить забезпечити прозорість, швидкість та зручність процедур надання адміністративних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</w:t>
      </w:r>
      <w:proofErr w:type="gramStart"/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соц</w:t>
      </w:r>
      <w:proofErr w:type="gramEnd"/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іальних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суб’єктам звернень, вдосконалення цих процедур та їх уніфікацію, запровадження єдиних стандартів роботи </w:t>
      </w:r>
      <w:r w:rsidR="00F6038F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Упрвління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C75FFB0" w14:textId="509065D7" w:rsidR="00115A40" w:rsidRPr="00335D54" w:rsidRDefault="001D6B21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</w:t>
      </w:r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вирішення окресленої проблеми неможливо використовувати ринкові механізми, тому передбачається застосування засобів </w:t>
      </w:r>
      <w:proofErr w:type="gramStart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державного</w:t>
      </w:r>
      <w:proofErr w:type="gramEnd"/>
      <w:r w:rsidR="00115A40" w:rsidRPr="0033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регулювання, зокрема це питання відноситься до компетенції селищної ради відповідно до вимог чинного законодавства України.</w:t>
      </w:r>
    </w:p>
    <w:p w14:paraId="4E80D72A" w14:textId="77777777" w:rsidR="00115A40" w:rsidRPr="00335D54" w:rsidRDefault="00115A40" w:rsidP="00FD5C4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II. Цілі державного регулювання</w:t>
      </w:r>
    </w:p>
    <w:p w14:paraId="3FCB41E5" w14:textId="77777777" w:rsidR="00115A40" w:rsidRPr="00335D54" w:rsidRDefault="00115A40" w:rsidP="00FD5C4C">
      <w:pPr>
        <w:numPr>
          <w:ilvl w:val="0"/>
          <w:numId w:val="1"/>
        </w:numPr>
        <w:spacing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Метою прийняття даного регуляторного акта є вирішення проблеми, </w:t>
      </w:r>
      <w:proofErr w:type="gramStart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</w:t>
      </w:r>
      <w:proofErr w:type="gramEnd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gramStart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яку</w:t>
      </w:r>
      <w:proofErr w:type="gramEnd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йшлося у попередньому розділі. Даний регуляторний акт спрямований на вирішення проблеми як у цілому, так і її окремих складових.</w:t>
      </w:r>
    </w:p>
    <w:p w14:paraId="73ABCDA6" w14:textId="77777777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Прийняття даного регуляторного акта має такі цілі:</w:t>
      </w:r>
    </w:p>
    <w:p w14:paraId="20FD42E2" w14:textId="214156D2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приведення у відповідність до вимог чинного законодавства України основних засад організації діяльності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Управління</w:t>
      </w:r>
      <w:r w:rsidR="00AC0B4A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,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з віддаленими місцями для роботи </w:t>
      </w:r>
      <w:proofErr w:type="gramStart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іністраторів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/спеціалістів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B33015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;</w:t>
      </w:r>
    </w:p>
    <w:p w14:paraId="2EFB8908" w14:textId="7684919D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реалізація державної політики у сфері надання </w:t>
      </w:r>
      <w:proofErr w:type="gramStart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іністративних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і соціальних 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послуг;</w:t>
      </w:r>
    </w:p>
    <w:p w14:paraId="02C4C2D7" w14:textId="4B893B07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створення комфортних умов для отримання суб’єктами господарювання та громадянами, в тому числі з обмеженими фізичними можливостями, якісного сервісу з надання адміністративних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/соціальних 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послуг за принципами «організаційної єдності» та «єдиного вікна», а саме: вичерпне інформування, фахове консультування, оперативний прийом та видача оформлених пакетів документів;</w:t>
      </w:r>
    </w:p>
    <w:p w14:paraId="517357CB" w14:textId="6549942D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забезпечення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 в Управлінні 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прозорості й відкритості виконання існуючого переліку адміністративних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/соціальних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послуг, за якими звертаються громадяни та суб’єкти господарювання;</w:t>
      </w:r>
    </w:p>
    <w:p w14:paraId="50FBEE99" w14:textId="77777777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запровадження інноваційних форм обслуговування заявників;</w:t>
      </w:r>
    </w:p>
    <w:p w14:paraId="6BFD4AFB" w14:textId="169FDB59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виключення корупційної складової при наданні </w:t>
      </w:r>
      <w:proofErr w:type="gramStart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іністративних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/соціальних 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послуг;</w:t>
      </w:r>
    </w:p>
    <w:p w14:paraId="6F32727F" w14:textId="2C13F27D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встановлення чіткого порядку дій між адміністраторами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/спеціалістами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Центру та суб’єктами надання адміністративних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/соцільних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послуг з метою якісного прийому, розгляду й опрацювання звернень громадян і суб’єктів господарювання, а також видачі оформлених результатів надання адміністративних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/соціальних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послуг;</w:t>
      </w:r>
    </w:p>
    <w:p w14:paraId="7D5F60F4" w14:textId="749E6D88" w:rsidR="00115A40" w:rsidRPr="00335D54" w:rsidRDefault="00115A40" w:rsidP="00FD5C4C">
      <w:pPr>
        <w:numPr>
          <w:ilvl w:val="0"/>
          <w:numId w:val="1"/>
        </w:numPr>
        <w:spacing w:before="100" w:beforeAutospacing="1" w:after="225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здійснення контролю за наданням </w:t>
      </w:r>
      <w:proofErr w:type="gramStart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адм</w:t>
      </w:r>
      <w:proofErr w:type="gramEnd"/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іністративних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/соціальних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послуг у межах повноважень </w:t>
      </w:r>
      <w:r w:rsidR="00F6038F"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>Управління</w:t>
      </w:r>
      <w:r w:rsidRPr="00335D5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14:paraId="5B7D3674" w14:textId="77777777" w:rsidR="00E12B38" w:rsidRPr="00E12B38" w:rsidRDefault="00E12B38" w:rsidP="00E12B3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12B38">
        <w:rPr>
          <w:rFonts w:ascii="Times New Roman" w:hAnsi="Times New Roman" w:cs="Times New Roman"/>
          <w:b/>
          <w:color w:val="000000"/>
          <w:sz w:val="24"/>
          <w:szCs w:val="24"/>
        </w:rPr>
        <w:t>III. Визначення та оцінка альтернативних способів досягнення цілей</w:t>
      </w:r>
    </w:p>
    <w:p w14:paraId="6D9EEF2F" w14:textId="77777777" w:rsidR="00E12B38" w:rsidRPr="00E12B38" w:rsidRDefault="00E12B38" w:rsidP="00E12B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B3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1. Визначення альтернативних способів</w:t>
      </w:r>
    </w:p>
    <w:tbl>
      <w:tblPr>
        <w:tblW w:w="505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26"/>
        <w:gridCol w:w="5283"/>
      </w:tblGrid>
      <w:tr w:rsidR="00E12B38" w:rsidRPr="00E12B38" w14:paraId="27D41EC2" w14:textId="77777777" w:rsidTr="000521EA">
        <w:tc>
          <w:tcPr>
            <w:tcW w:w="2222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4ABF43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B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альтернативи</w:t>
            </w:r>
          </w:p>
        </w:tc>
        <w:tc>
          <w:tcPr>
            <w:tcW w:w="2778" w:type="pct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981115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B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 альтернативи</w:t>
            </w:r>
          </w:p>
        </w:tc>
      </w:tr>
      <w:tr w:rsidR="00E12B38" w:rsidRPr="00F26C68" w14:paraId="5076F037" w14:textId="77777777" w:rsidTr="000521EA">
        <w:tc>
          <w:tcPr>
            <w:tcW w:w="222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ACC0EF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E12B3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Альтернатива 1</w:t>
            </w:r>
          </w:p>
          <w:p w14:paraId="71725D19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Відсутність регулювання – неприйняття регуляторного акта</w:t>
            </w:r>
          </w:p>
        </w:tc>
        <w:tc>
          <w:tcPr>
            <w:tcW w:w="27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6A84D6" w14:textId="53B61392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</w:pP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Неприйняття Регламенту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Управління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призведе до порушення вимог чинного законодавства України, продовжить практику існування ситуації, коли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Управління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працює за документами, що містять ознаки правової колізії. Також матиме місце відсутність чіткого встановленого порядку дій як адміністраторів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Управління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, так і суб’єктів надання адміністративних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/соціальних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послуг щодо забезпечення повноцінного та ефективного процесу надання адміністративних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/соціальних 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послуг суб’єктам звернень у межах існуючого правового поля.</w:t>
            </w:r>
          </w:p>
        </w:tc>
      </w:tr>
      <w:tr w:rsidR="00E12B38" w:rsidRPr="00F26C68" w14:paraId="19F36E22" w14:textId="77777777" w:rsidTr="000521EA">
        <w:tc>
          <w:tcPr>
            <w:tcW w:w="222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EA4C16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E12B3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Альтернатива 2</w:t>
            </w:r>
          </w:p>
          <w:p w14:paraId="2075ED97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Запровадження часткового регулювання</w:t>
            </w:r>
          </w:p>
        </w:tc>
        <w:tc>
          <w:tcPr>
            <w:tcW w:w="27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288E99" w14:textId="09FE8FBD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</w:pP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Забезпечення іншого, ніж затвердженого законодавством, розподілу функцій з організації діяльності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Управління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, що буде суперечити положенням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з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акон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ів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України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«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Про адміністративні послуги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»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,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«Про соціальні послуги»,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постанови Кабінету Міністрів України від 01 серпня 2013 року № 588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«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Про затвердження Примірного регламенту центру надання адміністративних послуг”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»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(із змінами) та встановлювати інші, не визначені, не зрозумілі та не відпрацьовані правила роботи центру.</w:t>
            </w:r>
          </w:p>
        </w:tc>
      </w:tr>
      <w:tr w:rsidR="00E12B38" w:rsidRPr="00F26C68" w14:paraId="18C10A21" w14:textId="77777777" w:rsidTr="000521EA">
        <w:tc>
          <w:tcPr>
            <w:tcW w:w="2222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D4CD11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E12B38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Альтернатива 3</w:t>
            </w:r>
          </w:p>
          <w:p w14:paraId="40CBE04A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Запровадження регулювання – прийняття регуляторного акта</w:t>
            </w:r>
          </w:p>
          <w:p w14:paraId="68684BED" w14:textId="77777777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7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35A329" w14:textId="14BDAFC9" w:rsidR="00E12B38" w:rsidRPr="00E12B38" w:rsidRDefault="00E12B38" w:rsidP="000521EA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</w:pP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Прийняття проекту </w:t>
            </w: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рішення </w:t>
            </w:r>
            <w:r w:rsidR="002A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Любашівської селищної</w:t>
            </w: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ради «Про затвердження Регламенту </w:t>
            </w:r>
            <w:r w:rsidR="002A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«</w:t>
            </w: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</w:t>
            </w:r>
            <w:r w:rsidR="002A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соціальних </w:t>
            </w: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</w:t>
            </w:r>
            <w:r w:rsidR="002A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A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Любашівської селищної </w:t>
            </w:r>
            <w:r w:rsidRPr="00E12B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  <w:r w:rsidRPr="00E12B38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»</w:t>
            </w:r>
            <w:r w:rsidRPr="00E12B3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uk-UA"/>
              </w:rPr>
              <w:t xml:space="preserve"> 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дозволить досягти встановлених цілей, забезпечити повну відповідність одного з головних документів, які регламентують роботу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Управління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, і, власне, процесу надання адміністративних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/ соціальних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послуг вимогам чинного законодавства України, а також налагодити ефективне функціонування 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Управління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 як дієвої інституції, діяльність якої спрямована на протидію корупції, забезпечення якісного обслуговування громадян і суб’єктів господарювання. Запропонований про</w:t>
            </w:r>
            <w:r w:rsidR="002A7C04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>є</w:t>
            </w:r>
            <w:r w:rsidRPr="00E12B38">
              <w:rPr>
                <w:rFonts w:ascii="Times New Roman" w:hAnsi="Times New Roman" w:cs="Times New Roman"/>
                <w:spacing w:val="-8"/>
                <w:sz w:val="24"/>
                <w:szCs w:val="24"/>
                <w:lang w:val="uk-UA"/>
              </w:rPr>
              <w:t xml:space="preserve">кт побудований відповідно до вимог регулювання центрального рівня, забезпечує досягнення цілей державного регулювання. </w:t>
            </w:r>
          </w:p>
        </w:tc>
      </w:tr>
    </w:tbl>
    <w:p w14:paraId="2DD6E525" w14:textId="77777777" w:rsidR="00E12B38" w:rsidRPr="00E12B38" w:rsidRDefault="00E12B38" w:rsidP="00E12B3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8219B27" w14:textId="77777777" w:rsidR="00E12B38" w:rsidRPr="00E12B38" w:rsidRDefault="00E12B38" w:rsidP="00E12B3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C49F16C" w14:textId="77777777" w:rsidR="00E12B38" w:rsidRPr="00E12B38" w:rsidRDefault="00E12B38" w:rsidP="00E12B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4. Механізми, які пропонується застосувати для розв’язання проблеми, і відповідні заходи</w:t>
      </w:r>
    </w:p>
    <w:p w14:paraId="2BBF964D" w14:textId="77777777" w:rsidR="00E12B38" w:rsidRPr="00E12B38" w:rsidRDefault="00E12B38" w:rsidP="00E12B3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</w:p>
    <w:p w14:paraId="6FF5C82F" w14:textId="77777777" w:rsidR="00E12B38" w:rsidRPr="00E12B38" w:rsidRDefault="00E12B38" w:rsidP="00E12B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Наслідком прийняття регуляторного акту будуть наступні механізми і заходи, які забезпечать розв’язання визначеної проблеми:</w:t>
      </w:r>
    </w:p>
    <w:p w14:paraId="430DA677" w14:textId="4365AD3F" w:rsidR="00E12B38" w:rsidRPr="00E12B38" w:rsidRDefault="00E12B38" w:rsidP="00E12B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впорядкування організації роботи адміністраторів </w:t>
      </w:r>
      <w:r w:rsidR="002A7C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їх взаємодії із суб’єктами надання адміністративних</w:t>
      </w:r>
      <w:r w:rsidR="002A7C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 та суб’єктами звернень відповідно до вимог чинного законодавства;</w:t>
      </w:r>
    </w:p>
    <w:p w14:paraId="7DB7F293" w14:textId="4AF8D48D" w:rsidR="00E12B38" w:rsidRPr="00E12B38" w:rsidRDefault="00E12B38" w:rsidP="00E12B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організаційне забезпечення надання адміністративних</w:t>
      </w:r>
      <w:r w:rsidR="002A7C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 суб’єктами надання </w:t>
      </w:r>
      <w:r w:rsidR="002A7C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послуг;</w:t>
      </w:r>
    </w:p>
    <w:p w14:paraId="14E1FF52" w14:textId="72680414" w:rsidR="00E12B38" w:rsidRPr="00E12B38" w:rsidRDefault="00E12B38" w:rsidP="00E12B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здійснення контролю за додержанням суб’єктами надання адміністративних</w:t>
      </w:r>
      <w:r w:rsidR="002A7C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 термінів розгляду справ та прийняття рішень;</w:t>
      </w:r>
    </w:p>
    <w:p w14:paraId="3D0CA177" w14:textId="06A56E39" w:rsidR="00E12B38" w:rsidRPr="00E12B38" w:rsidRDefault="00E12B38" w:rsidP="00E12B38">
      <w:pPr>
        <w:spacing w:after="0" w:line="10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надання адміністративних</w:t>
      </w:r>
      <w:r w:rsidR="002A7C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 у випадках, передбачених лише законами.</w:t>
      </w:r>
    </w:p>
    <w:p w14:paraId="289B204F" w14:textId="77777777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62333483" w14:textId="77777777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5. Обґрунтування можливості досягнення визначених цілей у разі прийняття регуляторного акта</w:t>
      </w:r>
    </w:p>
    <w:p w14:paraId="6172802C" w14:textId="77777777" w:rsidR="00E12B38" w:rsidRPr="00E12B38" w:rsidRDefault="00E12B38" w:rsidP="00E12B38">
      <w:pPr>
        <w:spacing w:after="0" w:line="100" w:lineRule="atLeast"/>
        <w:ind w:left="28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0ABF81F" w14:textId="0726C915" w:rsidR="00E12B38" w:rsidRPr="00E12B38" w:rsidRDefault="00E12B38" w:rsidP="00E12B38">
      <w:pPr>
        <w:spacing w:after="0" w:line="100" w:lineRule="atLeast"/>
        <w:ind w:left="28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Можливість досягнення цілей, передбачених п. 2. цього Аналізу, у разі прийняття зазначеного рішення є цілком реальною та обґрунтованою у зв'язку з тим, що метою створення про</w:t>
      </w:r>
      <w:r w:rsidR="002A7C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кту рішення є цілеспрямоване вирішення зазначених проблем. </w:t>
      </w:r>
    </w:p>
    <w:p w14:paraId="605A7276" w14:textId="77777777" w:rsidR="00E12B38" w:rsidRPr="00E12B38" w:rsidRDefault="00E12B38" w:rsidP="00E12B38">
      <w:pPr>
        <w:spacing w:after="0" w:line="100" w:lineRule="atLeast"/>
        <w:ind w:left="28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Ризик зовнішніх чинників даного регуляторного акта відсутній, так як його впровадження не суперечить чинному законодавству.</w:t>
      </w:r>
    </w:p>
    <w:p w14:paraId="08E5F15D" w14:textId="77777777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8692937" w14:textId="77777777" w:rsidR="00E12B38" w:rsidRPr="00E12B38" w:rsidRDefault="00E12B38" w:rsidP="00E12B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6. Очікувані результати прийняття регуляторного акта</w:t>
      </w:r>
    </w:p>
    <w:p w14:paraId="755F182A" w14:textId="77777777" w:rsidR="00E12B38" w:rsidRPr="00E12B38" w:rsidRDefault="00E12B38" w:rsidP="00E12B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333"/>
        <w:gridCol w:w="5245"/>
      </w:tblGrid>
      <w:tr w:rsidR="00E12B38" w:rsidRPr="00E12B38" w14:paraId="6EA358DB" w14:textId="77777777" w:rsidTr="000521EA">
        <w:tc>
          <w:tcPr>
            <w:tcW w:w="1920" w:type="dxa"/>
            <w:shd w:val="clear" w:color="auto" w:fill="auto"/>
          </w:tcPr>
          <w:p w14:paraId="5C2F06C1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14:paraId="132311ED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Сфера дії</w:t>
            </w:r>
          </w:p>
          <w:p w14:paraId="43737595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333" w:type="dxa"/>
            <w:shd w:val="clear" w:color="auto" w:fill="auto"/>
          </w:tcPr>
          <w:p w14:paraId="3F72AFB8" w14:textId="77777777" w:rsidR="00E12B38" w:rsidRPr="00E12B38" w:rsidRDefault="00E12B38" w:rsidP="00E12B38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14:paraId="2DCBF079" w14:textId="77777777" w:rsidR="00E12B38" w:rsidRPr="00E12B38" w:rsidRDefault="00E12B38" w:rsidP="00E12B38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5245" w:type="dxa"/>
            <w:shd w:val="clear" w:color="auto" w:fill="auto"/>
          </w:tcPr>
          <w:p w14:paraId="03D52881" w14:textId="77777777" w:rsidR="00E12B38" w:rsidRPr="00E12B38" w:rsidRDefault="00E12B38" w:rsidP="00E12B38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14:paraId="237F8879" w14:textId="77777777" w:rsidR="00E12B38" w:rsidRPr="00E12B38" w:rsidRDefault="00E12B38" w:rsidP="00E12B38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Вигоди</w:t>
            </w:r>
          </w:p>
        </w:tc>
      </w:tr>
      <w:tr w:rsidR="00E12B38" w:rsidRPr="00E12B38" w14:paraId="6BC5EE64" w14:textId="77777777" w:rsidTr="000521EA">
        <w:trPr>
          <w:trHeight w:val="808"/>
        </w:trPr>
        <w:tc>
          <w:tcPr>
            <w:tcW w:w="1920" w:type="dxa"/>
            <w:shd w:val="clear" w:color="auto" w:fill="auto"/>
            <w:vAlign w:val="center"/>
          </w:tcPr>
          <w:p w14:paraId="0B94ADAB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Органи місцевого самоврядування  та органи державної влади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61D72002" w14:textId="77777777" w:rsidR="00E12B38" w:rsidRPr="00E12B38" w:rsidRDefault="00E12B38" w:rsidP="00E12B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1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немає</w:t>
            </w:r>
          </w:p>
          <w:p w14:paraId="14F3D0FC" w14:textId="77777777" w:rsidR="00E12B38" w:rsidRPr="00E12B38" w:rsidRDefault="00E12B38" w:rsidP="00E12B38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8A5085F" w14:textId="0EF3BCA6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мінімізація кількості документів та процедурних дій, необхідних для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послуг;</w:t>
            </w:r>
          </w:p>
          <w:p w14:paraId="1E3F0087" w14:textId="77777777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мінімізація черг суб’єктів звернень;</w:t>
            </w:r>
          </w:p>
          <w:p w14:paraId="7203F09D" w14:textId="3BAFE926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встановлення чіткого порядку взаємодії між адміністраторами та суб’єктами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послуг;</w:t>
            </w:r>
          </w:p>
          <w:p w14:paraId="1C32B25F" w14:textId="5BF18F9B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оперативність вирішення питань, пов’я-заних з наданням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/соціальних 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послуг;</w:t>
            </w:r>
          </w:p>
          <w:p w14:paraId="5FF19963" w14:textId="77777777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 вимог діючого законодавства</w:t>
            </w:r>
          </w:p>
          <w:p w14:paraId="5296519E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E12B38" w:rsidRPr="00E12B38" w14:paraId="407C67CA" w14:textId="77777777" w:rsidTr="000521EA">
        <w:tc>
          <w:tcPr>
            <w:tcW w:w="1920" w:type="dxa"/>
            <w:shd w:val="clear" w:color="auto" w:fill="auto"/>
            <w:vAlign w:val="center"/>
          </w:tcPr>
          <w:p w14:paraId="235763EC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Суб’єкти господарської діяльності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6AA1164B" w14:textId="77777777" w:rsidR="00E12B38" w:rsidRPr="00E12B38" w:rsidRDefault="00E12B38" w:rsidP="00E12B38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немає</w:t>
            </w:r>
          </w:p>
        </w:tc>
        <w:tc>
          <w:tcPr>
            <w:tcW w:w="5245" w:type="dxa"/>
            <w:shd w:val="clear" w:color="auto" w:fill="auto"/>
          </w:tcPr>
          <w:p w14:paraId="40E138FA" w14:textId="77777777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доступність та зручність;</w:t>
            </w:r>
          </w:p>
          <w:p w14:paraId="1B53A0B8" w14:textId="325FAC7A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зрозумілість процедур надання адмініст-ративних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 завдяки встановленню чіткого порядку взаємодії між  адміністраторами, - та суб’єктами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послуг;</w:t>
            </w:r>
          </w:p>
          <w:p w14:paraId="72497AC6" w14:textId="78802FAC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мінімізація кількості відвідувань Центру для отримання результату надання адмініст-ративної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/соціальної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послуги;</w:t>
            </w:r>
          </w:p>
          <w:p w14:paraId="07F7E629" w14:textId="0044C057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контроль адміністраторів за термінами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послуг;</w:t>
            </w:r>
          </w:p>
          <w:p w14:paraId="4C45597B" w14:textId="0C96EC01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отримання у приміщенні 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професійних консультацій щодо порядку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 та допомоги в оформленні документів, необхідних для їх отримання;</w:t>
            </w:r>
          </w:p>
          <w:p w14:paraId="1B86B26E" w14:textId="5C12EEA7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зменшення термінів надання адміністра-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послуг;</w:t>
            </w:r>
          </w:p>
          <w:p w14:paraId="1977EB46" w14:textId="6409F98D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наявність та доступність інформації про перелік та порядок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послуг, в тому числі розміщеної на веб-сайті  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28899095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12B38" w:rsidRPr="00E12B38" w14:paraId="063620BD" w14:textId="77777777" w:rsidTr="000521EA">
        <w:trPr>
          <w:trHeight w:val="1379"/>
        </w:trPr>
        <w:tc>
          <w:tcPr>
            <w:tcW w:w="1920" w:type="dxa"/>
            <w:shd w:val="clear" w:color="auto" w:fill="auto"/>
            <w:vAlign w:val="center"/>
          </w:tcPr>
          <w:p w14:paraId="7FA68B0B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Громадяни</w:t>
            </w:r>
          </w:p>
        </w:tc>
        <w:tc>
          <w:tcPr>
            <w:tcW w:w="2333" w:type="dxa"/>
            <w:shd w:val="clear" w:color="auto" w:fill="auto"/>
            <w:vAlign w:val="center"/>
          </w:tcPr>
          <w:p w14:paraId="33311CF5" w14:textId="77777777" w:rsidR="00E12B38" w:rsidRPr="00E12B38" w:rsidRDefault="00E12B38" w:rsidP="00E12B38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немає</w:t>
            </w:r>
          </w:p>
        </w:tc>
        <w:tc>
          <w:tcPr>
            <w:tcW w:w="5245" w:type="dxa"/>
            <w:shd w:val="clear" w:color="auto" w:fill="auto"/>
          </w:tcPr>
          <w:p w14:paraId="7E30B57F" w14:textId="77777777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доступність та зручність (місце розташування, </w:t>
            </w:r>
            <w:r w:rsidRPr="006F08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транспортне сполучення,</w:t>
            </w:r>
            <w:r w:rsidRPr="00E12B38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  <w:t xml:space="preserve"> 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режим роботи Центру);</w:t>
            </w:r>
          </w:p>
          <w:p w14:paraId="2DAFC8D1" w14:textId="77777777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належні умови для очікування та заповнення необхідних документів (бланків, заяв тощо), у тому числі для осіб з обмеженими фізичними можливостями (особливими потребами); </w:t>
            </w:r>
          </w:p>
          <w:p w14:paraId="4BB7C12F" w14:textId="4B583850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мінімізація кількості відвідувань 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отримання результату надання адміністративної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/соціальної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послуги;</w:t>
            </w:r>
          </w:p>
          <w:p w14:paraId="637AF7F2" w14:textId="4D371100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отримання у приміщенні 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професійних консультацій щодо порядку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 та допомоги в оформленні документів, необхідних для їх отримання;</w:t>
            </w:r>
          </w:p>
          <w:p w14:paraId="7F86F0E0" w14:textId="5D96A531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зрозумілість процедур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/соціальтних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 завдяки встановленню чіткого порядку взаємодії між  адміністраторами та суб’єктами надання адміністративних</w:t>
            </w:r>
            <w:r w:rsidR="002A7C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послуг;</w:t>
            </w:r>
          </w:p>
          <w:p w14:paraId="76D3CC24" w14:textId="5BBAC34E" w:rsidR="00E12B38" w:rsidRPr="00E12B38" w:rsidRDefault="00E12B38" w:rsidP="00E12B38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наявність та доступність інформації про перелік та порядок надання адміністративних</w:t>
            </w:r>
            <w:r w:rsidR="00FD5C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/соціальних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послуг, в тому числі розміщеної на  веб-сайті </w:t>
            </w:r>
            <w:r w:rsidR="00FD5C4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</w:t>
            </w:r>
            <w:r w:rsidRPr="00E12B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364B6A34" w14:textId="77777777" w:rsidR="00E12B38" w:rsidRPr="00E12B38" w:rsidRDefault="00E12B38" w:rsidP="00E12B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6592AFF3" w14:textId="77777777" w:rsidR="00E12B38" w:rsidRPr="00E12B38" w:rsidRDefault="00E12B38" w:rsidP="00E12B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4774ED72" w14:textId="16AE5D35" w:rsidR="00E12B38" w:rsidRPr="00E12B38" w:rsidRDefault="00E12B38" w:rsidP="00E12B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суб’єктів звернення за одержанням адміністративних</w:t>
      </w:r>
      <w:r w:rsidR="00FD5C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послуг вигодою також буде уникнення випадків щодо:</w:t>
      </w:r>
    </w:p>
    <w:p w14:paraId="6BC60507" w14:textId="5A4A09B2" w:rsidR="00E12B38" w:rsidRPr="00E12B38" w:rsidRDefault="00E12B38" w:rsidP="00E12B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вимагання суб’єктами надання адміністративних</w:t>
      </w:r>
      <w:r w:rsidR="00FD5C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послуг отримання адміністративних</w:t>
      </w:r>
      <w:r w:rsidR="00FD5C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послуг, не передбачених законами;</w:t>
      </w:r>
    </w:p>
    <w:p w14:paraId="26BBDCD9" w14:textId="574BDBA3" w:rsidR="00E12B38" w:rsidRPr="00E12B38" w:rsidRDefault="00E12B38" w:rsidP="00E12B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понесення додаткових витрат під час одержання адміністративних</w:t>
      </w:r>
      <w:r w:rsidR="00FD5C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послуг.</w:t>
      </w:r>
    </w:p>
    <w:p w14:paraId="10143BB0" w14:textId="77777777" w:rsidR="00E12B38" w:rsidRPr="00E12B38" w:rsidRDefault="00E12B38" w:rsidP="00E12B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73429405" w14:textId="77777777" w:rsidR="00E12B38" w:rsidRPr="00E12B38" w:rsidRDefault="00E12B38" w:rsidP="00E12B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7. Термін дії акта</w:t>
      </w:r>
    </w:p>
    <w:p w14:paraId="5C356FC9" w14:textId="77777777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90E687C" w14:textId="77777777" w:rsidR="00E12B38" w:rsidRPr="00E12B38" w:rsidRDefault="00E12B38" w:rsidP="00E12B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Пропонується безстроковий термін дії регуляторного акту. При змінах у  чинному законодавстві, які можуть вплинути на дію запропонованого акта, до нього будуть вноситися відповідні зміни.</w:t>
      </w:r>
    </w:p>
    <w:p w14:paraId="08CB1732" w14:textId="77777777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2458AD7" w14:textId="77777777" w:rsidR="00E12B38" w:rsidRPr="00E12B38" w:rsidRDefault="00E12B38" w:rsidP="00E12B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8. Прогнозні значення показників результативності регуляторного акта</w:t>
      </w:r>
    </w:p>
    <w:p w14:paraId="70EC445A" w14:textId="77777777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Результативність регуляторного акта в</w:t>
      </w:r>
      <w:r w:rsidRPr="00E12B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изначатиметься за такими показниками: </w:t>
      </w:r>
    </w:p>
    <w:p w14:paraId="3307206A" w14:textId="77777777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37355C1" w14:textId="77777777" w:rsidR="00E12B38" w:rsidRPr="00E12B38" w:rsidRDefault="00E12B38" w:rsidP="00E12B3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статистичні показники:</w:t>
      </w:r>
    </w:p>
    <w:p w14:paraId="6AAD9F62" w14:textId="0AE2C87C" w:rsidR="00E12B38" w:rsidRPr="00E12B38" w:rsidRDefault="00E12B38" w:rsidP="00E12B38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кількість звернень до 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21C85D60" w14:textId="137A8DA1" w:rsidR="00E12B38" w:rsidRPr="00E12B38" w:rsidRDefault="00E12B38" w:rsidP="00E12B38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наданих адміністративних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послуг;</w:t>
      </w:r>
    </w:p>
    <w:p w14:paraId="1EB2FF7F" w14:textId="77777777" w:rsidR="00E12B38" w:rsidRPr="00E12B38" w:rsidRDefault="00E12B38" w:rsidP="00E12B38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наданих консультацій суб’єктам звернень;</w:t>
      </w:r>
    </w:p>
    <w:p w14:paraId="540079E3" w14:textId="77777777" w:rsidR="00E12B38" w:rsidRPr="00E12B38" w:rsidRDefault="00E12B38" w:rsidP="00E12B38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кількість суб'єктів господарювання та/або фізичних осіб, на яких поширюватиметься дія акта.</w:t>
      </w:r>
    </w:p>
    <w:p w14:paraId="3150CFA2" w14:textId="77777777" w:rsidR="00E12B38" w:rsidRPr="00E12B38" w:rsidRDefault="00E12B38" w:rsidP="00E12B3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lastRenderedPageBreak/>
        <w:t>соціологічні показники:</w:t>
      </w:r>
    </w:p>
    <w:p w14:paraId="043A4F59" w14:textId="39FA0545" w:rsidR="00E12B38" w:rsidRPr="00E12B38" w:rsidRDefault="00E12B38" w:rsidP="00E12B3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    кількість звернень відвідувачів для отримання адміністративних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 (однієї особи для вирішення свого питання);</w:t>
      </w:r>
    </w:p>
    <w:p w14:paraId="4C02C679" w14:textId="15696EB8" w:rsidR="00E12B38" w:rsidRPr="00E12B38" w:rsidRDefault="00E12B38" w:rsidP="00E12B3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      рівень поінформованості відвідувачів про роботу 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2184F231" w14:textId="7B97F320" w:rsidR="00E12B38" w:rsidRPr="00E12B38" w:rsidRDefault="00E12B38" w:rsidP="00E12B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       розмір коштів і час, що витрачатимуться суб’єктами звернень під час отримання адміністративних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послуг;</w:t>
      </w:r>
    </w:p>
    <w:p w14:paraId="044BFA4D" w14:textId="759BEAB2" w:rsidR="00E12B38" w:rsidRPr="00E12B38" w:rsidRDefault="00E12B38" w:rsidP="00E12B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-     час прийому населення для надання адміністративних послуг в </w:t>
      </w:r>
      <w:r w:rsidR="00FD5C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E12B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71CE0DCC" w14:textId="68AEBFDE" w:rsidR="00E12B38" w:rsidRPr="00E12B38" w:rsidRDefault="00E12B38" w:rsidP="00E12B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       оцінка умов для відвідувачів у приміщенні 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8F4434C" w14:textId="37F2469E" w:rsidR="00E12B38" w:rsidRPr="00E12B38" w:rsidRDefault="00E12B38" w:rsidP="00E12B3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12B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Дія регуляторного акта поширюється на юридичних та фізичних осіб, які є суб’єктами звернень щодо отримання адміністративних</w:t>
      </w:r>
      <w:r w:rsidR="00FD5C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послуг. Також його дія поширюється на органи виконавчої влади, інші державні органи, органи місцевого самоврядування, які є суб’єктами надання адміністративних</w:t>
      </w:r>
      <w:r w:rsidR="00FD5C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/соціальних</w:t>
      </w:r>
      <w:r w:rsidRPr="00E12B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послуг.</w:t>
      </w:r>
    </w:p>
    <w:p w14:paraId="1DC67B93" w14:textId="77777777" w:rsidR="00E12B38" w:rsidRPr="00E12B38" w:rsidRDefault="00E12B38" w:rsidP="00E12B3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Даний регуляторний акт не впливає на розмір надходжень до місцевого бюджету.</w:t>
      </w:r>
    </w:p>
    <w:p w14:paraId="627F7C62" w14:textId="519077D8" w:rsidR="00E12B38" w:rsidRPr="00E12B38" w:rsidRDefault="00E12B38" w:rsidP="001E4B01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Рівень поінформованості громадськості з основними положеннями про</w:t>
      </w:r>
      <w:r w:rsidR="00FD5C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</w:t>
      </w: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кту регуляторного акту – достатній, оскільки зазначений проект розміщений на офіційному веб-сайті </w:t>
      </w:r>
      <w:r w:rsidR="00FD5C4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Любашівської </w:t>
      </w:r>
      <w:r w:rsidRPr="00E12B3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ради </w:t>
      </w:r>
      <w:r w:rsidRPr="00E12B38">
        <w:rPr>
          <w:rFonts w:ascii="Times New Roman" w:eastAsia="Times New Roman" w:hAnsi="Times New Roman" w:cs="Times New Roman"/>
          <w:bCs/>
          <w:color w:val="00B050"/>
          <w:sz w:val="24"/>
          <w:szCs w:val="24"/>
          <w:u w:val="single"/>
          <w:lang w:val="uk-UA" w:eastAsia="ru-RU"/>
        </w:rPr>
        <w:t>(</w:t>
      </w:r>
      <w:r w:rsidR="00FD5C4C" w:rsidRPr="00FD5C4C">
        <w:rPr>
          <w:rFonts w:ascii="Times New Roman" w:eastAsia="Times New Roman" w:hAnsi="Times New Roman" w:cs="Times New Roman"/>
          <w:color w:val="00B050"/>
          <w:sz w:val="24"/>
          <w:szCs w:val="24"/>
          <w:u w:val="single"/>
          <w:lang w:eastAsia="ru-RU"/>
        </w:rPr>
        <w:t>lubashivska</w:t>
      </w:r>
      <w:r w:rsidR="00FD5C4C" w:rsidRPr="00FD5C4C">
        <w:rPr>
          <w:rFonts w:ascii="Times New Roman" w:eastAsia="Times New Roman" w:hAnsi="Times New Roman" w:cs="Times New Roman"/>
          <w:color w:val="00B050"/>
          <w:sz w:val="24"/>
          <w:szCs w:val="24"/>
          <w:u w:val="single"/>
          <w:lang w:val="uk-UA" w:eastAsia="ru-RU"/>
        </w:rPr>
        <w:t>-</w:t>
      </w:r>
      <w:r w:rsidR="00FD5C4C" w:rsidRPr="00FD5C4C">
        <w:rPr>
          <w:rFonts w:ascii="Times New Roman" w:eastAsia="Times New Roman" w:hAnsi="Times New Roman" w:cs="Times New Roman"/>
          <w:color w:val="00B050"/>
          <w:sz w:val="24"/>
          <w:szCs w:val="24"/>
          <w:u w:val="single"/>
          <w:lang w:eastAsia="ru-RU"/>
        </w:rPr>
        <w:t>gromada</w:t>
      </w:r>
      <w:r w:rsidR="00FD5C4C" w:rsidRPr="00FD5C4C">
        <w:rPr>
          <w:rFonts w:ascii="Times New Roman" w:eastAsia="Times New Roman" w:hAnsi="Times New Roman" w:cs="Times New Roman"/>
          <w:color w:val="00B050"/>
          <w:sz w:val="24"/>
          <w:szCs w:val="24"/>
          <w:u w:val="single"/>
          <w:lang w:val="uk-UA" w:eastAsia="ru-RU"/>
        </w:rPr>
        <w:t>.</w:t>
      </w:r>
      <w:r w:rsidR="00FD5C4C" w:rsidRPr="00FD5C4C">
        <w:rPr>
          <w:rFonts w:ascii="Times New Roman" w:eastAsia="Times New Roman" w:hAnsi="Times New Roman" w:cs="Times New Roman"/>
          <w:color w:val="00B050"/>
          <w:sz w:val="24"/>
          <w:szCs w:val="24"/>
          <w:u w:val="single"/>
          <w:lang w:eastAsia="ru-RU"/>
        </w:rPr>
        <w:t>gov</w:t>
      </w:r>
      <w:r w:rsidR="00FD5C4C" w:rsidRPr="00FD5C4C">
        <w:rPr>
          <w:rFonts w:ascii="Times New Roman" w:eastAsia="Times New Roman" w:hAnsi="Times New Roman" w:cs="Times New Roman"/>
          <w:color w:val="00B050"/>
          <w:sz w:val="24"/>
          <w:szCs w:val="24"/>
          <w:u w:val="single"/>
          <w:lang w:val="uk-UA" w:eastAsia="ru-RU"/>
        </w:rPr>
        <w:t>.</w:t>
      </w:r>
      <w:r w:rsidR="00FD5C4C" w:rsidRPr="00FD5C4C">
        <w:rPr>
          <w:rFonts w:ascii="Times New Roman" w:eastAsia="Times New Roman" w:hAnsi="Times New Roman" w:cs="Times New Roman"/>
          <w:color w:val="00B050"/>
          <w:sz w:val="24"/>
          <w:szCs w:val="24"/>
          <w:u w:val="single"/>
          <w:lang w:eastAsia="ru-RU"/>
        </w:rPr>
        <w:t>ua</w:t>
      </w:r>
      <w:r w:rsidRPr="00E12B38">
        <w:rPr>
          <w:rFonts w:ascii="Times New Roman" w:eastAsia="Times New Roman" w:hAnsi="Times New Roman" w:cs="Times New Roman"/>
          <w:bCs/>
          <w:color w:val="00B050"/>
          <w:sz w:val="24"/>
          <w:szCs w:val="24"/>
          <w:u w:val="single"/>
          <w:lang w:val="uk-UA" w:eastAsia="ru-RU"/>
        </w:rPr>
        <w:t>).</w:t>
      </w:r>
    </w:p>
    <w:p w14:paraId="4FD3AE77" w14:textId="77777777" w:rsidR="00E12B38" w:rsidRPr="00E12B38" w:rsidRDefault="00E12B38" w:rsidP="00E12B38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6D8F688" w14:textId="77777777" w:rsidR="00E12B38" w:rsidRPr="00E12B38" w:rsidRDefault="00E12B38" w:rsidP="00E12B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9. Заходи, за допомогою яких буде здійснюватися відстеження результативності регуляторного акта</w:t>
      </w:r>
    </w:p>
    <w:p w14:paraId="4C767714" w14:textId="65FE3166" w:rsidR="00E12B38" w:rsidRPr="00E12B38" w:rsidRDefault="00E12B38" w:rsidP="00E12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Базове відстеження результативності регуляторного акта буде здійснюватися 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Управлінням «Центр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адміністративних 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соціальних 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Любашівської селищної 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 —до </w:t>
      </w:r>
      <w:r w:rsidRPr="00E12B38">
        <w:rPr>
          <w:rFonts w:ascii="Times New Roman" w:eastAsia="Times New Roman" w:hAnsi="Times New Roman" w:cs="Times New Roman"/>
          <w:spacing w:val="-8"/>
          <w:sz w:val="24"/>
          <w:szCs w:val="24"/>
          <w:lang w:val="uk-UA" w:eastAsia="ru-RU"/>
        </w:rPr>
        <w:t xml:space="preserve">набрання чинності цим рішенням, 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повторне — </w:t>
      </w:r>
      <w:r w:rsidRPr="00E12B38">
        <w:rPr>
          <w:rFonts w:ascii="Times New Roman" w:eastAsia="Times New Roman" w:hAnsi="Times New Roman" w:cs="Times New Roman"/>
          <w:spacing w:val="-8"/>
          <w:sz w:val="24"/>
          <w:szCs w:val="24"/>
          <w:lang w:val="uk-UA" w:eastAsia="ru-RU"/>
        </w:rPr>
        <w:t>через один рік після набрання ним чинності, але не пізніше двох років з дня набрання чинності цим актом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періодичне — </w:t>
      </w:r>
      <w:r w:rsidRPr="00E12B38">
        <w:rPr>
          <w:rFonts w:ascii="Times New Roman" w:eastAsia="Times New Roman" w:hAnsi="Times New Roman" w:cs="Times New Roman"/>
          <w:spacing w:val="-8"/>
          <w:sz w:val="24"/>
          <w:szCs w:val="24"/>
          <w:lang w:val="uk-UA" w:eastAsia="ru-RU"/>
        </w:rPr>
        <w:t>раз на три роки  починаючи з повторного відстеження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C31287" w14:textId="4C0AB980" w:rsidR="00E12B38" w:rsidRPr="00E12B38" w:rsidRDefault="00E12B38" w:rsidP="00E12B38">
      <w:pPr>
        <w:spacing w:after="0" w:line="10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Результати відстеження після їх здійснення будуть оприлюднені в засобах масової інформації та/або на офіційному веб – сайті </w:t>
      </w:r>
      <w:r w:rsidR="00FD5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 селищної</w:t>
      </w:r>
      <w:r w:rsidRPr="00E12B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 в порядку, встановленому чинним законодавством.</w:t>
      </w:r>
    </w:p>
    <w:p w14:paraId="215449A8" w14:textId="2E81B705" w:rsidR="000967A4" w:rsidRDefault="000967A4" w:rsidP="00E12B3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156F6E9" w14:textId="404B160C" w:rsidR="000967A4" w:rsidRDefault="000967A4" w:rsidP="000967A4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E238261" w14:textId="77777777" w:rsidR="000967A4" w:rsidRPr="00335D5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В.о.начальника Управління </w:t>
      </w:r>
    </w:p>
    <w:p w14:paraId="634DC65C" w14:textId="77777777" w:rsidR="000967A4" w:rsidRPr="00335D5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«Центр надання адміністративних</w:t>
      </w:r>
    </w:p>
    <w:p w14:paraId="39BFB2D4" w14:textId="77777777" w:rsidR="000967A4" w:rsidRPr="00335D5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 соціальних послуг»</w:t>
      </w:r>
    </w:p>
    <w:p w14:paraId="0A3C4F14" w14:textId="77777777" w:rsidR="000967A4" w:rsidRPr="00335D5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3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Любашівської селищної ради                                                      І.В. Заміхановська</w:t>
      </w:r>
    </w:p>
    <w:p w14:paraId="1B999630" w14:textId="77777777" w:rsidR="00AB19C4" w:rsidRPr="000967A4" w:rsidRDefault="00AB19C4" w:rsidP="000967A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B19C4" w:rsidRPr="000967A4" w:rsidSect="000967A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45FB5"/>
    <w:multiLevelType w:val="multilevel"/>
    <w:tmpl w:val="F3EA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DF4AA4"/>
    <w:multiLevelType w:val="hybridMultilevel"/>
    <w:tmpl w:val="A912B99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3710E7"/>
    <w:multiLevelType w:val="hybridMultilevel"/>
    <w:tmpl w:val="58C021A0"/>
    <w:lvl w:ilvl="0" w:tplc="23C494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E0764D5"/>
    <w:multiLevelType w:val="multilevel"/>
    <w:tmpl w:val="1510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0930BB"/>
    <w:multiLevelType w:val="multilevel"/>
    <w:tmpl w:val="8BCE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A3106C"/>
    <w:multiLevelType w:val="multilevel"/>
    <w:tmpl w:val="40C6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05DC9"/>
    <w:multiLevelType w:val="hybridMultilevel"/>
    <w:tmpl w:val="B4FA4D66"/>
    <w:lvl w:ilvl="0" w:tplc="C32AC8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11389"/>
    <w:multiLevelType w:val="hybridMultilevel"/>
    <w:tmpl w:val="2BCA6184"/>
    <w:lvl w:ilvl="0" w:tplc="23EC8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96750B"/>
    <w:multiLevelType w:val="multilevel"/>
    <w:tmpl w:val="F3F48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4D729A"/>
    <w:multiLevelType w:val="multilevel"/>
    <w:tmpl w:val="99DE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A40"/>
    <w:rsid w:val="00025A9B"/>
    <w:rsid w:val="000504D4"/>
    <w:rsid w:val="00066F10"/>
    <w:rsid w:val="000853D3"/>
    <w:rsid w:val="000967A4"/>
    <w:rsid w:val="000970DA"/>
    <w:rsid w:val="00115A40"/>
    <w:rsid w:val="001D6B21"/>
    <w:rsid w:val="001E4B01"/>
    <w:rsid w:val="00236951"/>
    <w:rsid w:val="00240339"/>
    <w:rsid w:val="002753E7"/>
    <w:rsid w:val="002A7C04"/>
    <w:rsid w:val="002D28FD"/>
    <w:rsid w:val="002E3843"/>
    <w:rsid w:val="00335D54"/>
    <w:rsid w:val="004A655E"/>
    <w:rsid w:val="004A788D"/>
    <w:rsid w:val="004C4FA1"/>
    <w:rsid w:val="004D5204"/>
    <w:rsid w:val="004E0954"/>
    <w:rsid w:val="005105F7"/>
    <w:rsid w:val="00532051"/>
    <w:rsid w:val="00591D86"/>
    <w:rsid w:val="005B2044"/>
    <w:rsid w:val="005B2518"/>
    <w:rsid w:val="005E4116"/>
    <w:rsid w:val="00680B0E"/>
    <w:rsid w:val="006F0898"/>
    <w:rsid w:val="007273A2"/>
    <w:rsid w:val="00767D57"/>
    <w:rsid w:val="007E7902"/>
    <w:rsid w:val="009506C8"/>
    <w:rsid w:val="009B6448"/>
    <w:rsid w:val="00AB19C4"/>
    <w:rsid w:val="00AC0B4A"/>
    <w:rsid w:val="00B33015"/>
    <w:rsid w:val="00B573A1"/>
    <w:rsid w:val="00B73E9F"/>
    <w:rsid w:val="00C13CFB"/>
    <w:rsid w:val="00CF78A4"/>
    <w:rsid w:val="00E12B38"/>
    <w:rsid w:val="00EB5F73"/>
    <w:rsid w:val="00F26C68"/>
    <w:rsid w:val="00F362F8"/>
    <w:rsid w:val="00F6038F"/>
    <w:rsid w:val="00FD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A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5A40"/>
  </w:style>
  <w:style w:type="paragraph" w:customStyle="1" w:styleId="msonormal0">
    <w:name w:val="msonormal"/>
    <w:basedOn w:val="a"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A40"/>
    <w:rPr>
      <w:b/>
      <w:bCs/>
    </w:rPr>
  </w:style>
  <w:style w:type="character" w:styleId="a5">
    <w:name w:val="Hyperlink"/>
    <w:basedOn w:val="a0"/>
    <w:uiPriority w:val="99"/>
    <w:semiHidden/>
    <w:unhideWhenUsed/>
    <w:rsid w:val="00115A4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15A40"/>
    <w:rPr>
      <w:color w:val="800080"/>
      <w:u w:val="single"/>
    </w:rPr>
  </w:style>
  <w:style w:type="character" w:styleId="a7">
    <w:name w:val="Emphasis"/>
    <w:basedOn w:val="a0"/>
    <w:uiPriority w:val="20"/>
    <w:qFormat/>
    <w:rsid w:val="00115A40"/>
    <w:rPr>
      <w:i/>
      <w:iCs/>
    </w:rPr>
  </w:style>
  <w:style w:type="character" w:customStyle="1" w:styleId="icon">
    <w:name w:val="icon"/>
    <w:basedOn w:val="a0"/>
    <w:rsid w:val="00115A40"/>
  </w:style>
  <w:style w:type="paragraph" w:styleId="a8">
    <w:name w:val="Balloon Text"/>
    <w:basedOn w:val="a"/>
    <w:link w:val="a9"/>
    <w:uiPriority w:val="99"/>
    <w:semiHidden/>
    <w:unhideWhenUsed/>
    <w:rsid w:val="0009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5A40"/>
  </w:style>
  <w:style w:type="paragraph" w:customStyle="1" w:styleId="msonormal0">
    <w:name w:val="msonormal"/>
    <w:basedOn w:val="a"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A40"/>
    <w:rPr>
      <w:b/>
      <w:bCs/>
    </w:rPr>
  </w:style>
  <w:style w:type="character" w:styleId="a5">
    <w:name w:val="Hyperlink"/>
    <w:basedOn w:val="a0"/>
    <w:uiPriority w:val="99"/>
    <w:semiHidden/>
    <w:unhideWhenUsed/>
    <w:rsid w:val="00115A4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15A40"/>
    <w:rPr>
      <w:color w:val="800080"/>
      <w:u w:val="single"/>
    </w:rPr>
  </w:style>
  <w:style w:type="character" w:styleId="a7">
    <w:name w:val="Emphasis"/>
    <w:basedOn w:val="a0"/>
    <w:uiPriority w:val="20"/>
    <w:qFormat/>
    <w:rsid w:val="00115A40"/>
    <w:rPr>
      <w:i/>
      <w:iCs/>
    </w:rPr>
  </w:style>
  <w:style w:type="character" w:customStyle="1" w:styleId="icon">
    <w:name w:val="icon"/>
    <w:basedOn w:val="a0"/>
    <w:rsid w:val="00115A40"/>
  </w:style>
  <w:style w:type="paragraph" w:styleId="a8">
    <w:name w:val="Balloon Text"/>
    <w:basedOn w:val="a"/>
    <w:link w:val="a9"/>
    <w:uiPriority w:val="99"/>
    <w:semiHidden/>
    <w:unhideWhenUsed/>
    <w:rsid w:val="0009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7024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4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19876">
                  <w:marLeft w:val="0"/>
                  <w:marRight w:val="0"/>
                  <w:marTop w:val="4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4261">
                  <w:marLeft w:val="0"/>
                  <w:marRight w:val="0"/>
                  <w:marTop w:val="1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154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900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2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tpetrikivka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6224</Words>
  <Characters>35483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2021-01-18T06:47:00Z</dcterms:created>
  <dcterms:modified xsi:type="dcterms:W3CDTF">2021-01-18T08:53:00Z</dcterms:modified>
</cp:coreProperties>
</file>