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3F0" w:rsidRPr="00A13686" w:rsidRDefault="009E73F0" w:rsidP="009E73F0">
      <w:pPr>
        <w:pStyle w:val="1"/>
        <w:ind w:left="5529" w:firstLine="2"/>
        <w:jc w:val="left"/>
        <w:rPr>
          <w:sz w:val="26"/>
          <w:szCs w:val="26"/>
        </w:rPr>
      </w:pPr>
      <w:r w:rsidRPr="00A13686">
        <w:rPr>
          <w:sz w:val="26"/>
          <w:szCs w:val="26"/>
        </w:rPr>
        <w:t>Затверджено</w:t>
      </w:r>
    </w:p>
    <w:p w:rsidR="009E73F0" w:rsidRPr="00A13686" w:rsidRDefault="009E73F0" w:rsidP="009E73F0">
      <w:pPr>
        <w:pStyle w:val="1"/>
        <w:ind w:left="5529" w:firstLine="2"/>
        <w:jc w:val="left"/>
        <w:rPr>
          <w:sz w:val="26"/>
          <w:szCs w:val="26"/>
        </w:rPr>
      </w:pPr>
      <w:r w:rsidRPr="00A13686">
        <w:rPr>
          <w:sz w:val="26"/>
          <w:szCs w:val="26"/>
        </w:rPr>
        <w:t>Рішення виконавчого комітету Любашівської селищної ради</w:t>
      </w:r>
    </w:p>
    <w:p w:rsidR="009E73F0" w:rsidRPr="00A13686" w:rsidRDefault="009E73F0" w:rsidP="009E73F0">
      <w:pPr>
        <w:pStyle w:val="1"/>
        <w:ind w:left="5529" w:firstLine="2"/>
        <w:jc w:val="left"/>
        <w:rPr>
          <w:sz w:val="26"/>
          <w:szCs w:val="26"/>
        </w:rPr>
      </w:pPr>
      <w:r w:rsidRPr="00A13686">
        <w:rPr>
          <w:sz w:val="26"/>
          <w:szCs w:val="26"/>
        </w:rPr>
        <w:t>№60 від 08.04.2021 року</w:t>
      </w:r>
    </w:p>
    <w:p w:rsidR="0053129D" w:rsidRPr="00A13686" w:rsidRDefault="0053129D" w:rsidP="00B15F59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aps/>
          <w:sz w:val="24"/>
          <w:szCs w:val="24"/>
          <w:lang w:val="uk-UA"/>
        </w:rPr>
      </w:pPr>
    </w:p>
    <w:p w:rsidR="00B15F59" w:rsidRPr="00A13686" w:rsidRDefault="00B15F59" w:rsidP="00B15F59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aps/>
          <w:sz w:val="24"/>
          <w:szCs w:val="24"/>
          <w:lang w:val="uk-UA"/>
        </w:rPr>
      </w:pPr>
      <w:r w:rsidRPr="00A13686">
        <w:rPr>
          <w:rFonts w:ascii="Times New Roman" w:hAnsi="Times New Roman"/>
          <w:b/>
          <w:bCs/>
          <w:caps/>
          <w:sz w:val="24"/>
          <w:szCs w:val="24"/>
          <w:lang w:val="uk-UA"/>
        </w:rPr>
        <w:t>ТЕХНОЛОГІЧНА КАРТКА</w:t>
      </w:r>
    </w:p>
    <w:p w:rsidR="00B15F59" w:rsidRPr="00A13686" w:rsidRDefault="00B15F59" w:rsidP="00B15F59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aps/>
          <w:sz w:val="24"/>
          <w:szCs w:val="24"/>
          <w:lang w:val="uk-UA"/>
        </w:rPr>
      </w:pPr>
      <w:r w:rsidRPr="00A13686">
        <w:rPr>
          <w:rFonts w:ascii="Times New Roman" w:hAnsi="Times New Roman"/>
          <w:b/>
          <w:bCs/>
          <w:caps/>
          <w:sz w:val="24"/>
          <w:szCs w:val="24"/>
          <w:lang w:val="uk-UA"/>
        </w:rPr>
        <w:t>АДМІНІСТРАТИВНОЇ ПОСЛУГИ</w:t>
      </w:r>
    </w:p>
    <w:p w:rsidR="00B15F59" w:rsidRPr="00A13686" w:rsidRDefault="0035543E" w:rsidP="00B15F59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  <w:r w:rsidRPr="00A13686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Державна</w:t>
      </w:r>
      <w:r w:rsidR="00B64B66" w:rsidRPr="00A13686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 xml:space="preserve"> </w:t>
      </w:r>
      <w:r w:rsidRPr="00A13686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реєстрація</w:t>
      </w:r>
      <w:r w:rsidR="00B64B66" w:rsidRPr="00A13686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 xml:space="preserve"> </w:t>
      </w:r>
      <w:r w:rsidR="00B15F59" w:rsidRPr="00A13686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права власності на нерухоме</w:t>
      </w:r>
      <w:r w:rsidR="00880D03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 xml:space="preserve"> </w:t>
      </w:r>
      <w:r w:rsidR="00B15F59" w:rsidRPr="00A13686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майно</w:t>
      </w:r>
    </w:p>
    <w:p w:rsidR="0053129D" w:rsidRPr="00A13686" w:rsidRDefault="0053129D" w:rsidP="00531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val="uk-UA" w:eastAsia="uk-UA"/>
        </w:rPr>
      </w:pPr>
      <w:bookmarkStart w:id="0" w:name="_Hlk29754382"/>
      <w:r w:rsidRPr="00A13686">
        <w:rPr>
          <w:rFonts w:ascii="Times New Roman" w:eastAsia="Times New Roman" w:hAnsi="Times New Roman"/>
          <w:b/>
          <w:bCs/>
          <w:sz w:val="24"/>
          <w:szCs w:val="24"/>
          <w:u w:val="single"/>
          <w:lang w:val="uk-UA" w:eastAsia="uk-UA"/>
        </w:rPr>
        <w:t xml:space="preserve">Державний реєстратор </w:t>
      </w:r>
      <w:r w:rsidRPr="00A13686">
        <w:rPr>
          <w:rFonts w:ascii="Times New Roman" w:eastAsia="Times New Roman" w:hAnsi="Times New Roman"/>
          <w:b/>
          <w:bCs/>
          <w:sz w:val="24"/>
          <w:szCs w:val="24"/>
          <w:u w:val="single"/>
          <w:lang w:val="uk-UA"/>
        </w:rPr>
        <w:t>відділу</w:t>
      </w:r>
      <w:r w:rsidR="005D0266" w:rsidRPr="00A13686">
        <w:rPr>
          <w:rFonts w:ascii="Times New Roman" w:eastAsia="Times New Roman" w:hAnsi="Times New Roman"/>
          <w:b/>
          <w:bCs/>
          <w:sz w:val="24"/>
          <w:szCs w:val="24"/>
          <w:u w:val="single"/>
          <w:lang w:val="uk-UA"/>
        </w:rPr>
        <w:t xml:space="preserve"> державної реєстрації Управління</w:t>
      </w:r>
      <w:r w:rsidR="00880D03">
        <w:rPr>
          <w:rFonts w:ascii="Times New Roman" w:eastAsia="Times New Roman" w:hAnsi="Times New Roman"/>
          <w:b/>
          <w:bCs/>
          <w:sz w:val="24"/>
          <w:szCs w:val="24"/>
          <w:u w:val="single"/>
          <w:lang w:val="uk-UA"/>
        </w:rPr>
        <w:t xml:space="preserve"> </w:t>
      </w:r>
      <w:r w:rsidRPr="00A1368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uk-UA"/>
        </w:rPr>
        <w:t>«Центр надання адміні</w:t>
      </w:r>
      <w:r w:rsidR="005D0266" w:rsidRPr="00A1368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uk-UA"/>
        </w:rPr>
        <w:t>стративних послуг» Любашівської</w:t>
      </w:r>
      <w:r w:rsidR="00906FC9" w:rsidRPr="00A1368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uk-UA"/>
        </w:rPr>
        <w:t xml:space="preserve"> селищної ради</w:t>
      </w:r>
    </w:p>
    <w:p w:rsidR="0053129D" w:rsidRPr="00A13686" w:rsidRDefault="0053129D" w:rsidP="0053129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A13686">
        <w:rPr>
          <w:rFonts w:ascii="Times New Roman" w:eastAsia="Times New Roman" w:hAnsi="Times New Roman"/>
          <w:sz w:val="24"/>
          <w:szCs w:val="24"/>
          <w:lang w:val="uk-UA"/>
        </w:rPr>
        <w:t>(найменування суб’єкта надання адміністративної послуги)</w:t>
      </w:r>
    </w:p>
    <w:bookmarkEnd w:id="0"/>
    <w:p w:rsidR="0053129D" w:rsidRPr="00A13686" w:rsidRDefault="0053129D" w:rsidP="00B15F59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</w:p>
    <w:p w:rsidR="00B15F59" w:rsidRPr="00A13686" w:rsidRDefault="00B15F59" w:rsidP="00B15F59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pPr w:leftFromText="180" w:rightFromText="180" w:vertAnchor="text" w:tblpX="-308" w:tblpY="1"/>
        <w:tblOverlap w:val="never"/>
        <w:tblW w:w="10216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5"/>
        <w:gridCol w:w="3309"/>
        <w:gridCol w:w="2410"/>
        <w:gridCol w:w="1979"/>
        <w:gridCol w:w="1843"/>
      </w:tblGrid>
      <w:tr w:rsidR="00B15F59" w:rsidRPr="00A13686" w:rsidTr="00C26D87">
        <w:trPr>
          <w:tblHeader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A13686" w:rsidRDefault="00B15F59" w:rsidP="00A136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A136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№</w:t>
            </w:r>
          </w:p>
          <w:p w:rsidR="00B15F59" w:rsidRPr="00A13686" w:rsidRDefault="00B15F59" w:rsidP="00A13686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A136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3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A13686" w:rsidRDefault="0053129D" w:rsidP="00A13686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A1368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Етапи</w:t>
            </w:r>
            <w:r w:rsidR="00A1368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A1368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опрацювання заяви про надання</w:t>
            </w:r>
            <w:r w:rsidR="00A1368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A1368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адміністративної</w:t>
            </w:r>
            <w:r w:rsidR="00A1368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A1368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послуги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A13686" w:rsidRDefault="0053129D" w:rsidP="00A136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A1368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Відповідальна особа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A13686" w:rsidRDefault="0053129D" w:rsidP="00A136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A1368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Структурний</w:t>
            </w:r>
            <w:r w:rsidR="00A1368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A1368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підрозділ, відповідальний за етап (дію, рішення)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15F59" w:rsidRPr="00A13686" w:rsidRDefault="0053129D" w:rsidP="00A136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A1368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Строки виконання</w:t>
            </w:r>
            <w:r w:rsidR="00A1368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A1368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етапів</w:t>
            </w:r>
            <w:r w:rsidRPr="00A1368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br/>
            </w:r>
          </w:p>
        </w:tc>
      </w:tr>
      <w:tr w:rsidR="00B15F59" w:rsidRPr="00A13686" w:rsidTr="00C26D87">
        <w:trPr>
          <w:tblHeader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A13686" w:rsidRDefault="00B15F59" w:rsidP="00C26D87">
            <w:pPr>
              <w:snapToGrid w:val="0"/>
              <w:spacing w:after="0" w:line="240" w:lineRule="auto"/>
              <w:ind w:left="-567" w:firstLine="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A136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3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B15F59" w:rsidRPr="00A13686" w:rsidRDefault="00B15F59" w:rsidP="00C26D8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A136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B15F59" w:rsidRPr="00A13686" w:rsidRDefault="00B15F59" w:rsidP="00C26D8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A136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B15F59" w:rsidRPr="00A13686" w:rsidRDefault="00B15F59" w:rsidP="00C26D87">
            <w:pPr>
              <w:shd w:val="clear" w:color="auto" w:fill="FFFFFF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A136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15F59" w:rsidRPr="00A13686" w:rsidRDefault="00B15F59" w:rsidP="00C26D87">
            <w:pPr>
              <w:shd w:val="clear" w:color="auto" w:fill="FFFFFF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A136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B15F59" w:rsidRPr="00A13686" w:rsidTr="00C26D87"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4C6DBA" w:rsidRDefault="00B15F59" w:rsidP="00C26D8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C6DB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33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A13686" w:rsidRDefault="00B15F59" w:rsidP="004C6DBA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A1368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Прийом і перевірка</w:t>
            </w:r>
            <w:r w:rsidR="00A1368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повноти пакету документів, реєстрація заяви, повідомлення</w:t>
            </w:r>
            <w:r w:rsidR="00A1368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замовника про орієнтовний</w:t>
            </w:r>
            <w:r w:rsidR="00A1368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термін</w:t>
            </w:r>
            <w:r w:rsidR="00A1368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A13686" w:rsidRDefault="005D0266" w:rsidP="004C6DBA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A13686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Державний реєстратор речових прав на нерухоме майно та їх обтяжень</w:t>
            </w:r>
          </w:p>
        </w:tc>
        <w:tc>
          <w:tcPr>
            <w:tcW w:w="19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A13686" w:rsidRDefault="0053129D" w:rsidP="004C6DBA">
            <w:pPr>
              <w:shd w:val="clear" w:color="auto" w:fill="FFFFFF"/>
              <w:snapToGrid w:val="0"/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A1368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Відділ</w:t>
            </w:r>
            <w:r w:rsidR="005D0266" w:rsidRPr="00A1368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державної реєстрації Управління</w:t>
            </w:r>
            <w:r w:rsidRPr="00A1368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«Центр надання</w:t>
            </w:r>
            <w:r w:rsidR="00A1368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адмініс</w:t>
            </w:r>
            <w:r w:rsidR="005D0266" w:rsidRPr="00A1368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тративних</w:t>
            </w:r>
            <w:r w:rsidR="00A1368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5D0266" w:rsidRPr="00A1368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послуг» Любашівської</w:t>
            </w:r>
            <w:r w:rsidR="00A1368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селищної ради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15F59" w:rsidRPr="00A13686" w:rsidRDefault="00B15F59" w:rsidP="004C6DBA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A1368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 день звернення</w:t>
            </w:r>
          </w:p>
        </w:tc>
      </w:tr>
      <w:tr w:rsidR="00B15F59" w:rsidRPr="00A13686" w:rsidTr="00C26D87"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4C6DBA" w:rsidRDefault="005D0266" w:rsidP="00C26D8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C6DB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 w:rsidR="00B15F59" w:rsidRPr="004C6DB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3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A13686" w:rsidRDefault="00B15F59" w:rsidP="004C6DB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Прийняття заяви про державну</w:t>
            </w:r>
            <w:r w:rsidR="00A828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реєстрацію прав та їх</w:t>
            </w:r>
            <w:r w:rsidR="00A828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обтяжень, а також</w:t>
            </w:r>
            <w:r w:rsidR="00A828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документів, необхідних для її</w:t>
            </w:r>
            <w:r w:rsidR="00A828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проведення, та реєстрація у базі</w:t>
            </w:r>
            <w:r w:rsidR="00A828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даних про реєстрацію</w:t>
            </w:r>
            <w:r w:rsidR="00A828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заяв і запитів.</w:t>
            </w: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B15F59" w:rsidRPr="00A13686" w:rsidRDefault="005D0266" w:rsidP="004C6DB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A13686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Державний реєстратор речових прав на нерухоме майно та їх обтяжень</w:t>
            </w:r>
          </w:p>
        </w:tc>
        <w:tc>
          <w:tcPr>
            <w:tcW w:w="19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A13686" w:rsidRDefault="005D0266" w:rsidP="004C6DBA">
            <w:pPr>
              <w:shd w:val="clear" w:color="auto" w:fill="FFFFFF"/>
              <w:snapToGrid w:val="0"/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A1368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Відділ державної реєстрації Управління «Центр надання адміністративних послуг» Любашівської селищної ради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15F59" w:rsidRPr="00A13686" w:rsidRDefault="00B15F59" w:rsidP="004C6DBA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В порядку черговості</w:t>
            </w:r>
            <w:r w:rsidR="00A828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надходження</w:t>
            </w:r>
          </w:p>
        </w:tc>
      </w:tr>
      <w:tr w:rsidR="00B15F59" w:rsidRPr="00A13686" w:rsidTr="00C26D87"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4C6DBA" w:rsidRDefault="005D0266" w:rsidP="00C26D8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C6DB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  <w:r w:rsidR="00B15F59" w:rsidRPr="004C6DB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3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A13686" w:rsidRDefault="00B15F59" w:rsidP="004C6DBA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Опрацювання заяви про державну</w:t>
            </w:r>
            <w:r w:rsidR="00A828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реєстрацію прав та їх</w:t>
            </w:r>
            <w:r w:rsidR="00A828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обтяжень, а також</w:t>
            </w:r>
            <w:r w:rsidR="00A828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документів, необхідних для її</w:t>
            </w:r>
            <w:r w:rsidR="00A828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проведення та оформлення результату надання</w:t>
            </w:r>
            <w:r w:rsidR="00A828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адміністративної</w:t>
            </w:r>
            <w:r w:rsidR="00A828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послуги, зокрема:</w:t>
            </w:r>
          </w:p>
        </w:tc>
        <w:tc>
          <w:tcPr>
            <w:tcW w:w="2410" w:type="dxa"/>
            <w:vMerge w:val="restart"/>
            <w:tcBorders>
              <w:left w:val="single" w:sz="8" w:space="0" w:color="000000"/>
            </w:tcBorders>
            <w:shd w:val="clear" w:color="auto" w:fill="FFFFFF"/>
          </w:tcPr>
          <w:p w:rsidR="00B15F59" w:rsidRPr="00A13686" w:rsidRDefault="005D0266" w:rsidP="004C6DB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A13686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Державний реєстратор речових прав на нерухоме майно та їх обтяжень</w:t>
            </w:r>
          </w:p>
        </w:tc>
        <w:tc>
          <w:tcPr>
            <w:tcW w:w="1979" w:type="dxa"/>
            <w:vMerge w:val="restart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B15F59" w:rsidRPr="00A13686" w:rsidRDefault="005D0266" w:rsidP="004C6DBA">
            <w:pPr>
              <w:shd w:val="clear" w:color="auto" w:fill="FFFFFF"/>
              <w:snapToGrid w:val="0"/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A1368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Відділ державної реєстрації Управління «Центр надання адміністративних послуг» Любашівської селищної ради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15F59" w:rsidRPr="00A13686" w:rsidRDefault="00B15F59" w:rsidP="004C6DBA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A1368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Не пізніше 5 робочих</w:t>
            </w:r>
            <w:r w:rsidR="00B221D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днів</w:t>
            </w:r>
          </w:p>
        </w:tc>
      </w:tr>
      <w:tr w:rsidR="00B15F59" w:rsidRPr="004C6DBA" w:rsidTr="00C26D87">
        <w:tc>
          <w:tcPr>
            <w:tcW w:w="6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4C6DBA" w:rsidRDefault="005D0266" w:rsidP="00C26D8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C6DB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</w:t>
            </w:r>
            <w:r w:rsidR="00B15F59" w:rsidRPr="004C6DB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B15F59" w:rsidRPr="00A13686" w:rsidRDefault="00B15F59" w:rsidP="004C6DBA">
            <w:pPr>
              <w:snapToGrid w:val="0"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розгляд заяви про державну</w:t>
            </w:r>
            <w:r w:rsidR="00B221D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реєстрацію прав та їх</w:t>
            </w:r>
            <w:r w:rsidR="00B221D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обтяжень та документів, необхідних для її</w:t>
            </w:r>
            <w:r w:rsidR="00B221D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проведення та у разі</w:t>
            </w:r>
            <w:r w:rsidR="00B221D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необхідності</w:t>
            </w:r>
            <w:r w:rsidR="00B221D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прийняття</w:t>
            </w:r>
            <w:r w:rsidR="00B221D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рішення про зупинення</w:t>
            </w:r>
            <w:r w:rsidR="00B221D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розгляду заяви про державну</w:t>
            </w:r>
            <w:r w:rsidR="00B221D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реєстрацію</w:t>
            </w:r>
            <w:r w:rsidR="00B221D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речових прав на нерухоме</w:t>
            </w:r>
            <w:r w:rsidR="00B221D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майно, про відновлення</w:t>
            </w:r>
            <w:r w:rsidR="00AC2F2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розгляду заяви про державну</w:t>
            </w:r>
            <w:r w:rsidR="00AC2F2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реєстрацію прав та їх</w:t>
            </w:r>
            <w:r w:rsidR="00AC2F2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обтяжень, про залишення заяви про державну</w:t>
            </w:r>
            <w:r w:rsidR="00AC2F2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реєстрацію без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розгляду у зв’язку з її</w:t>
            </w:r>
            <w:r w:rsidR="00AC2F2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відкликанням, про відмову в задоволенні заяви про відкликання заяви про державну</w:t>
            </w:r>
            <w:r w:rsidR="00AC2F2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реєстрацію, про зупинення</w:t>
            </w:r>
            <w:r w:rsidR="00AC2F2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державної</w:t>
            </w:r>
            <w:r w:rsidR="00AC2F2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реєстрації прав, про відмову у зупиненні</w:t>
            </w:r>
            <w:r w:rsidR="00880D0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державної</w:t>
            </w:r>
            <w:r w:rsidR="00880D0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реєстрації прав, про відновлення</w:t>
            </w:r>
            <w:r w:rsidR="00880D0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державної</w:t>
            </w:r>
            <w:r w:rsidR="00880D0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реєстрації прав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center"/>
          </w:tcPr>
          <w:p w:rsidR="00B15F59" w:rsidRPr="00A13686" w:rsidRDefault="00B15F59" w:rsidP="004C6DBA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center"/>
          </w:tcPr>
          <w:p w:rsidR="00B15F59" w:rsidRPr="00A13686" w:rsidRDefault="00B15F59" w:rsidP="004C6DBA">
            <w:pPr>
              <w:shd w:val="clear" w:color="auto" w:fill="FFFFFF"/>
              <w:snapToGri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15F59" w:rsidRPr="00A13686" w:rsidRDefault="00B15F59" w:rsidP="004C6DBA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B15F59" w:rsidRPr="004C6DBA" w:rsidTr="00C26D87"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4C6DBA" w:rsidRDefault="005D0266" w:rsidP="00C26D8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C6DB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>5</w:t>
            </w:r>
            <w:r w:rsidR="00B15F59" w:rsidRPr="004C6DB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3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B15F59" w:rsidRPr="00A13686" w:rsidRDefault="00880D03" w:rsidP="004C6DBA">
            <w:pPr>
              <w:tabs>
                <w:tab w:val="left" w:pos="4395"/>
              </w:tabs>
              <w:snapToGrid w:val="0"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3686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B15F59" w:rsidRPr="00A13686">
              <w:rPr>
                <w:rFonts w:ascii="Times New Roman" w:hAnsi="Times New Roman"/>
                <w:sz w:val="24"/>
                <w:szCs w:val="24"/>
                <w:lang w:val="uk-UA"/>
              </w:rPr>
              <w:t>рийняття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B15F59" w:rsidRPr="00A13686">
              <w:rPr>
                <w:rFonts w:ascii="Times New Roman" w:hAnsi="Times New Roman"/>
                <w:sz w:val="24"/>
                <w:szCs w:val="24"/>
                <w:lang w:val="uk-UA"/>
              </w:rPr>
              <w:t>рішення про державну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B15F59" w:rsidRPr="00A13686">
              <w:rPr>
                <w:rFonts w:ascii="Times New Roman" w:hAnsi="Times New Roman"/>
                <w:sz w:val="24"/>
                <w:szCs w:val="24"/>
                <w:lang w:val="uk-UA"/>
              </w:rPr>
              <w:t>реєстрацію прав та їх</w:t>
            </w:r>
            <w:r w:rsidR="00A65C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B15F59" w:rsidRPr="00A13686">
              <w:rPr>
                <w:rFonts w:ascii="Times New Roman" w:hAnsi="Times New Roman"/>
                <w:sz w:val="24"/>
                <w:szCs w:val="24"/>
                <w:lang w:val="uk-UA"/>
              </w:rPr>
              <w:t>обтяжень, або про відмову у державній</w:t>
            </w:r>
            <w:r w:rsidR="00A65C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B15F59" w:rsidRPr="00A13686">
              <w:rPr>
                <w:rFonts w:ascii="Times New Roman" w:hAnsi="Times New Roman"/>
                <w:sz w:val="24"/>
                <w:szCs w:val="24"/>
                <w:lang w:val="uk-UA"/>
              </w:rPr>
              <w:t>реєстрації прав та їх</w:t>
            </w:r>
            <w:r w:rsidR="00A65C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B15F59" w:rsidRPr="00A13686">
              <w:rPr>
                <w:rFonts w:ascii="Times New Roman" w:hAnsi="Times New Roman"/>
                <w:sz w:val="24"/>
                <w:szCs w:val="24"/>
                <w:lang w:val="uk-UA"/>
              </w:rPr>
              <w:t>обтяжень</w:t>
            </w: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A13686" w:rsidRDefault="00B15F59" w:rsidP="004C6DBA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979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A13686" w:rsidRDefault="00B15F59" w:rsidP="004C6DBA">
            <w:pPr>
              <w:shd w:val="clear" w:color="auto" w:fill="FFFFFF"/>
              <w:snapToGri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15F59" w:rsidRPr="00A13686" w:rsidRDefault="00B15F59" w:rsidP="004C6DBA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B15F59" w:rsidRPr="00A13686" w:rsidTr="00C26D87"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4C6DBA" w:rsidRDefault="005D0266" w:rsidP="00C26D87">
            <w:pPr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C6DB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</w:t>
            </w:r>
            <w:r w:rsidR="00B15F59" w:rsidRPr="004C6DB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3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A13686" w:rsidRDefault="00B15F59" w:rsidP="004C6DBA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A1368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Видача</w:t>
            </w:r>
            <w:r w:rsidR="000962A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заявникові</w:t>
            </w:r>
            <w:r w:rsidR="000962A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витягу  з Державного реєстру</w:t>
            </w:r>
            <w:r w:rsidR="000962A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речових прав про реєстрацію права власності</w:t>
            </w:r>
            <w:r w:rsidR="000962A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або</w:t>
            </w:r>
            <w:r w:rsidR="000962A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іншого</w:t>
            </w:r>
            <w:r w:rsidR="000962A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1368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речового права</w:t>
            </w: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B15F59" w:rsidRPr="00A13686" w:rsidRDefault="005D0266" w:rsidP="004C6DBA">
            <w:pPr>
              <w:spacing w:after="0" w:line="240" w:lineRule="auto"/>
              <w:rPr>
                <w:lang w:val="uk-UA"/>
              </w:rPr>
            </w:pPr>
            <w:r w:rsidRPr="00A13686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Державний реєстратор речових прав на нерухоме майно та їх обтяжень</w:t>
            </w:r>
          </w:p>
        </w:tc>
        <w:tc>
          <w:tcPr>
            <w:tcW w:w="197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15F59" w:rsidRPr="00A13686" w:rsidRDefault="005D0266" w:rsidP="004C6DBA">
            <w:pPr>
              <w:shd w:val="clear" w:color="auto" w:fill="FFFFFF"/>
              <w:snapToGrid w:val="0"/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A1368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Відділ державної реєстрації Управління «Центр надання адміністративних послуг» Любашівської селищної ради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15F59" w:rsidRPr="00A13686" w:rsidRDefault="00B15F59" w:rsidP="004C6DBA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A1368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Протягом 1 робочого дня</w:t>
            </w:r>
          </w:p>
        </w:tc>
      </w:tr>
      <w:tr w:rsidR="00B15F59" w:rsidRPr="00A13686" w:rsidTr="00C26D87">
        <w:tc>
          <w:tcPr>
            <w:tcW w:w="8373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B15F59" w:rsidRPr="00A13686" w:rsidRDefault="00B15F59" w:rsidP="00C26D87">
            <w:pPr>
              <w:snapToGri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15F59" w:rsidRPr="00A13686" w:rsidRDefault="00B15F59" w:rsidP="00C26D87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B15F59" w:rsidRPr="00A13686" w:rsidRDefault="00C26D87" w:rsidP="00B15F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13686">
        <w:rPr>
          <w:rFonts w:ascii="Times New Roman" w:hAnsi="Times New Roman"/>
          <w:b/>
          <w:sz w:val="24"/>
          <w:szCs w:val="24"/>
          <w:lang w:val="uk-UA"/>
        </w:rPr>
        <w:br w:type="textWrapping" w:clear="all"/>
      </w:r>
    </w:p>
    <w:p w:rsidR="00B15F59" w:rsidRPr="00A13686" w:rsidRDefault="00B15F59" w:rsidP="00B15F5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uk-UA"/>
        </w:rPr>
      </w:pPr>
    </w:p>
    <w:p w:rsidR="00B15F59" w:rsidRPr="00A13686" w:rsidRDefault="00B15F59" w:rsidP="00B15F5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uk-UA"/>
        </w:rPr>
      </w:pPr>
    </w:p>
    <w:p w:rsidR="00BE2896" w:rsidRPr="00A13686" w:rsidRDefault="00BE2896">
      <w:pPr>
        <w:rPr>
          <w:lang w:val="uk-UA"/>
        </w:rPr>
      </w:pPr>
    </w:p>
    <w:sectPr w:rsidR="00BE2896" w:rsidRPr="00A13686" w:rsidSect="0083074B">
      <w:pgSz w:w="11906" w:h="16838"/>
      <w:pgMar w:top="682" w:right="567" w:bottom="709" w:left="1701" w:header="426" w:footer="12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93B7B"/>
    <w:rsid w:val="00062084"/>
    <w:rsid w:val="000962A6"/>
    <w:rsid w:val="00204469"/>
    <w:rsid w:val="00293B7B"/>
    <w:rsid w:val="0035543E"/>
    <w:rsid w:val="00376427"/>
    <w:rsid w:val="004C6DBA"/>
    <w:rsid w:val="00511F00"/>
    <w:rsid w:val="0053129D"/>
    <w:rsid w:val="005D0266"/>
    <w:rsid w:val="005D7A07"/>
    <w:rsid w:val="006A758D"/>
    <w:rsid w:val="007847E5"/>
    <w:rsid w:val="007E3B08"/>
    <w:rsid w:val="00880D03"/>
    <w:rsid w:val="00906FC9"/>
    <w:rsid w:val="009E73F0"/>
    <w:rsid w:val="00A13686"/>
    <w:rsid w:val="00A65C8C"/>
    <w:rsid w:val="00A828FA"/>
    <w:rsid w:val="00AB2C3B"/>
    <w:rsid w:val="00AC2F2E"/>
    <w:rsid w:val="00B15F59"/>
    <w:rsid w:val="00B221D3"/>
    <w:rsid w:val="00B64B66"/>
    <w:rsid w:val="00BE2896"/>
    <w:rsid w:val="00C26D87"/>
    <w:rsid w:val="00FA254A"/>
    <w:rsid w:val="00FE5B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F59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5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543E"/>
    <w:rPr>
      <w:rFonts w:ascii="Tahoma" w:eastAsia="Calibri" w:hAnsi="Tahoma" w:cs="Tahoma"/>
      <w:sz w:val="16"/>
      <w:szCs w:val="16"/>
      <w:lang w:val="ru-RU"/>
    </w:rPr>
  </w:style>
  <w:style w:type="paragraph" w:customStyle="1" w:styleId="1">
    <w:name w:val="Без интервала1"/>
    <w:rsid w:val="009E73F0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8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7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Наталя Нущик</dc:creator>
  <cp:lastModifiedBy>Центр адмiнпослуг</cp:lastModifiedBy>
  <cp:revision>22</cp:revision>
  <cp:lastPrinted>2021-04-07T12:18:00Z</cp:lastPrinted>
  <dcterms:created xsi:type="dcterms:W3CDTF">2021-04-02T12:13:00Z</dcterms:created>
  <dcterms:modified xsi:type="dcterms:W3CDTF">2021-04-15T07:16:00Z</dcterms:modified>
</cp:coreProperties>
</file>