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B69" w:rsidRDefault="00B33495" w:rsidP="00A46788">
      <w:pPr>
        <w:ind w:right="425"/>
        <w:jc w:val="right"/>
        <w:rPr>
          <w:lang w:val="uk-UA"/>
        </w:rPr>
      </w:pPr>
      <w:r>
        <w:rPr>
          <w:noProof/>
          <w:lang w:val="uk-UA" w:eastAsia="ru-RU"/>
        </w:rPr>
        <w:t xml:space="preserve"> </w:t>
      </w:r>
    </w:p>
    <w:p w:rsidR="00A46788" w:rsidRDefault="00A46788" w:rsidP="00B3349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</w:p>
    <w:p w:rsidR="00A46788" w:rsidRDefault="009A5640" w:rsidP="00B3349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noProof/>
          <w:lang w:eastAsia="ru-RU"/>
        </w:rPr>
        <w:drawing>
          <wp:inline distT="0" distB="0" distL="0" distR="0" wp14:anchorId="4BE9C6F3" wp14:editId="67B43AFC">
            <wp:extent cx="3143249" cy="1905000"/>
            <wp:effectExtent l="0" t="0" r="635" b="0"/>
            <wp:docPr id="11" name="Рисунок 11" descr="Оцінка фінансових показників бюджетів 806 ОТГ. Рейтинг за 2019 рі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цінка фінансових показників бюджетів 806 ОТГ. Рейтинг за 2019 рік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0235" cy="1909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5640" w:rsidRDefault="009A5640" w:rsidP="006928D5">
      <w:pPr>
        <w:ind w:firstLine="426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A5640" w:rsidRDefault="009A5640" w:rsidP="006928D5">
      <w:pPr>
        <w:ind w:firstLine="426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A5640" w:rsidRDefault="009A5640" w:rsidP="009A564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A5640" w:rsidRPr="0054704C" w:rsidRDefault="009A5640" w:rsidP="009A56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04C">
        <w:rPr>
          <w:rFonts w:ascii="Times New Roman" w:hAnsi="Times New Roman" w:cs="Times New Roman"/>
          <w:b/>
          <w:sz w:val="24"/>
          <w:szCs w:val="24"/>
        </w:rPr>
        <w:t>АНАЛІ</w:t>
      </w:r>
      <w:proofErr w:type="gramStart"/>
      <w:r w:rsidRPr="0054704C"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  <w:r w:rsidRPr="0054704C">
        <w:rPr>
          <w:rFonts w:ascii="Times New Roman" w:hAnsi="Times New Roman" w:cs="Times New Roman"/>
          <w:b/>
          <w:sz w:val="24"/>
          <w:szCs w:val="24"/>
        </w:rPr>
        <w:t xml:space="preserve"> ОКРЕМИХ ПОКАЗНИКІВ ДІЯЛЬНОСТІ ОТГ за 2019 року</w:t>
      </w:r>
    </w:p>
    <w:p w:rsidR="00A82B69" w:rsidRPr="00B33495" w:rsidRDefault="00A82B69" w:rsidP="009A5640">
      <w:pPr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3349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За підсумками 2019 року експерти </w:t>
      </w:r>
      <w:r w:rsidR="00835F65" w:rsidRPr="009A564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Програми</w:t>
      </w:r>
      <w:r w:rsidR="00835F65" w:rsidRPr="00835F65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835F65" w:rsidRPr="009A5640">
        <w:rPr>
          <w:rFonts w:ascii="Times New Roman" w:hAnsi="Times New Roman" w:cs="Times New Roman"/>
          <w:b/>
          <w:bCs/>
          <w:sz w:val="24"/>
          <w:szCs w:val="24"/>
          <w:lang w:val="uk-UA"/>
        </w:rPr>
        <w:t>«</w:t>
      </w:r>
      <w:hyperlink r:id="rId7" w:tgtFrame="_blank" w:history="1">
        <w:r w:rsidR="00835F65" w:rsidRPr="00835F65">
          <w:rPr>
            <w:rStyle w:val="a5"/>
            <w:rFonts w:ascii="Times New Roman" w:hAnsi="Times New Roman" w:cs="Times New Roman"/>
            <w:b/>
            <w:bCs/>
            <w:sz w:val="24"/>
            <w:szCs w:val="24"/>
          </w:rPr>
          <w:t>U</w:t>
        </w:r>
        <w:r w:rsidR="00835F65" w:rsidRPr="009A5640">
          <w:rPr>
            <w:rStyle w:val="a5"/>
            <w:rFonts w:ascii="Times New Roman" w:hAnsi="Times New Roman" w:cs="Times New Roman"/>
            <w:b/>
            <w:bCs/>
            <w:sz w:val="24"/>
            <w:szCs w:val="24"/>
            <w:lang w:val="uk-UA"/>
          </w:rPr>
          <w:t>-</w:t>
        </w:r>
        <w:r w:rsidR="00835F65" w:rsidRPr="00835F65">
          <w:rPr>
            <w:rStyle w:val="a5"/>
            <w:rFonts w:ascii="Times New Roman" w:hAnsi="Times New Roman" w:cs="Times New Roman"/>
            <w:b/>
            <w:bCs/>
            <w:sz w:val="24"/>
            <w:szCs w:val="24"/>
          </w:rPr>
          <w:t>LEAD</w:t>
        </w:r>
        <w:r w:rsidR="00835F65" w:rsidRPr="009A5640">
          <w:rPr>
            <w:rStyle w:val="a5"/>
            <w:rFonts w:ascii="Times New Roman" w:hAnsi="Times New Roman" w:cs="Times New Roman"/>
            <w:b/>
            <w:bCs/>
            <w:sz w:val="24"/>
            <w:szCs w:val="24"/>
            <w:lang w:val="uk-UA"/>
          </w:rPr>
          <w:t xml:space="preserve"> з Європою</w:t>
        </w:r>
      </w:hyperlink>
      <w:r w:rsidR="00835F65" w:rsidRPr="009A564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» </w:t>
      </w:r>
      <w:r w:rsidR="00835F65" w:rsidRPr="00835F65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835F65" w:rsidRPr="009A564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 проекту </w:t>
      </w:r>
      <w:r w:rsidR="00835F65" w:rsidRPr="00835F65">
        <w:rPr>
          <w:rFonts w:ascii="Times New Roman" w:hAnsi="Times New Roman" w:cs="Times New Roman"/>
          <w:b/>
          <w:bCs/>
          <w:sz w:val="24"/>
          <w:szCs w:val="24"/>
        </w:rPr>
        <w:t>SKL</w:t>
      </w:r>
      <w:r w:rsidR="00835F65" w:rsidRPr="009A564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="00835F65" w:rsidRPr="00835F65">
        <w:rPr>
          <w:rFonts w:ascii="Times New Roman" w:hAnsi="Times New Roman" w:cs="Times New Roman"/>
          <w:b/>
          <w:bCs/>
          <w:sz w:val="24"/>
          <w:szCs w:val="24"/>
        </w:rPr>
        <w:t>International</w:t>
      </w:r>
      <w:proofErr w:type="spellEnd"/>
      <w:r w:rsidR="00835F6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33495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проаналізували окремі фінансові показники 806 об’єднаних територіальних громад</w:t>
      </w:r>
    </w:p>
    <w:p w:rsidR="00A46788" w:rsidRDefault="00A46788" w:rsidP="006928D5">
      <w:pPr>
        <w:ind w:firstLine="426"/>
        <w:rPr>
          <w:rFonts w:ascii="Times New Roman" w:hAnsi="Times New Roman" w:cs="Times New Roman"/>
          <w:sz w:val="24"/>
          <w:szCs w:val="24"/>
          <w:lang w:val="uk-UA"/>
        </w:rPr>
        <w:sectPr w:rsidR="00A46788" w:rsidSect="00A46788">
          <w:pgSz w:w="11906" w:h="16838"/>
          <w:pgMar w:top="284" w:right="850" w:bottom="1134" w:left="851" w:header="708" w:footer="708" w:gutter="0"/>
          <w:cols w:num="2" w:space="283"/>
          <w:docGrid w:linePitch="360"/>
        </w:sectPr>
      </w:pPr>
    </w:p>
    <w:p w:rsidR="00A82B69" w:rsidRPr="00B33495" w:rsidRDefault="00A82B69" w:rsidP="006928D5">
      <w:pPr>
        <w:ind w:firstLine="426"/>
        <w:rPr>
          <w:rFonts w:ascii="Times New Roman" w:hAnsi="Times New Roman" w:cs="Times New Roman"/>
          <w:sz w:val="24"/>
          <w:szCs w:val="24"/>
          <w:lang w:val="uk-UA"/>
        </w:rPr>
      </w:pPr>
      <w:r w:rsidRPr="00B33495">
        <w:rPr>
          <w:rFonts w:ascii="Times New Roman" w:hAnsi="Times New Roman" w:cs="Times New Roman"/>
          <w:sz w:val="24"/>
          <w:szCs w:val="24"/>
          <w:lang w:val="uk-UA"/>
        </w:rPr>
        <w:lastRenderedPageBreak/>
        <w:t>Для проведення аналізу 806 ОТГ згрупували за критерієм чисельності населення громад у наступні групи:</w:t>
      </w:r>
    </w:p>
    <w:p w:rsidR="00A82B69" w:rsidRPr="00B33495" w:rsidRDefault="00A82B69" w:rsidP="00A82B69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B33495">
        <w:rPr>
          <w:rFonts w:ascii="Times New Roman" w:hAnsi="Times New Roman" w:cs="Times New Roman"/>
          <w:b/>
          <w:bCs/>
          <w:sz w:val="24"/>
          <w:szCs w:val="24"/>
          <w:lang w:val="uk-UA"/>
        </w:rPr>
        <w:t>Група 1</w:t>
      </w:r>
      <w:r w:rsidRPr="00B33495">
        <w:rPr>
          <w:rFonts w:ascii="Times New Roman" w:hAnsi="Times New Roman" w:cs="Times New Roman"/>
          <w:sz w:val="24"/>
          <w:szCs w:val="24"/>
          <w:lang w:val="uk-UA"/>
        </w:rPr>
        <w:t> – ОТГ з чисельністю населення понад 15 тис. жителів;</w:t>
      </w:r>
    </w:p>
    <w:p w:rsidR="00A82B69" w:rsidRPr="00B33495" w:rsidRDefault="00A82B69" w:rsidP="00A82B69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B33495">
        <w:rPr>
          <w:rFonts w:ascii="Times New Roman" w:hAnsi="Times New Roman" w:cs="Times New Roman"/>
          <w:b/>
          <w:bCs/>
          <w:sz w:val="24"/>
          <w:szCs w:val="24"/>
          <w:lang w:val="uk-UA"/>
        </w:rPr>
        <w:t>Група 2</w:t>
      </w:r>
      <w:r w:rsidRPr="00B33495">
        <w:rPr>
          <w:rFonts w:ascii="Times New Roman" w:hAnsi="Times New Roman" w:cs="Times New Roman"/>
          <w:sz w:val="24"/>
          <w:szCs w:val="24"/>
          <w:lang w:val="uk-UA"/>
        </w:rPr>
        <w:t> – ОТГ з чисельністю населення від 10 до 15 тис. жителів;</w:t>
      </w:r>
    </w:p>
    <w:p w:rsidR="00A82B69" w:rsidRPr="00B33495" w:rsidRDefault="00A82B69" w:rsidP="00A82B69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B33495">
        <w:rPr>
          <w:rFonts w:ascii="Times New Roman" w:hAnsi="Times New Roman" w:cs="Times New Roman"/>
          <w:b/>
          <w:bCs/>
          <w:sz w:val="24"/>
          <w:szCs w:val="24"/>
          <w:lang w:val="uk-UA"/>
        </w:rPr>
        <w:t>Група 3</w:t>
      </w:r>
      <w:r w:rsidRPr="00B33495">
        <w:rPr>
          <w:rFonts w:ascii="Times New Roman" w:hAnsi="Times New Roman" w:cs="Times New Roman"/>
          <w:sz w:val="24"/>
          <w:szCs w:val="24"/>
          <w:lang w:val="uk-UA"/>
        </w:rPr>
        <w:t> – ОТГ з чисельністю населення від 5 до 10 тис. жителів;</w:t>
      </w:r>
    </w:p>
    <w:p w:rsidR="00A82B69" w:rsidRPr="00B33495" w:rsidRDefault="00A82B69" w:rsidP="00A82B69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B33495">
        <w:rPr>
          <w:rFonts w:ascii="Times New Roman" w:hAnsi="Times New Roman" w:cs="Times New Roman"/>
          <w:b/>
          <w:bCs/>
          <w:sz w:val="24"/>
          <w:szCs w:val="24"/>
          <w:lang w:val="uk-UA"/>
        </w:rPr>
        <w:t>Група 4</w:t>
      </w:r>
      <w:r w:rsidRPr="00B33495">
        <w:rPr>
          <w:rFonts w:ascii="Times New Roman" w:hAnsi="Times New Roman" w:cs="Times New Roman"/>
          <w:sz w:val="24"/>
          <w:szCs w:val="24"/>
          <w:lang w:val="uk-UA"/>
        </w:rPr>
        <w:t> – ОТГ з чисельністю населення менше 5 тис. жителів;</w:t>
      </w:r>
    </w:p>
    <w:p w:rsidR="00A82B69" w:rsidRPr="00B33495" w:rsidRDefault="00A82B69" w:rsidP="00A82B69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B33495">
        <w:rPr>
          <w:rFonts w:ascii="Times New Roman" w:hAnsi="Times New Roman" w:cs="Times New Roman"/>
          <w:b/>
          <w:bCs/>
          <w:sz w:val="24"/>
          <w:szCs w:val="24"/>
          <w:lang w:val="uk-UA"/>
        </w:rPr>
        <w:t>Група 5 </w:t>
      </w:r>
      <w:r w:rsidRPr="00B33495">
        <w:rPr>
          <w:rFonts w:ascii="Times New Roman" w:hAnsi="Times New Roman" w:cs="Times New Roman"/>
          <w:sz w:val="24"/>
          <w:szCs w:val="24"/>
          <w:lang w:val="uk-UA"/>
        </w:rPr>
        <w:t>– ОТГ-</w:t>
      </w:r>
      <w:r w:rsidR="005470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33495">
        <w:rPr>
          <w:rFonts w:ascii="Times New Roman" w:hAnsi="Times New Roman" w:cs="Times New Roman"/>
          <w:sz w:val="24"/>
          <w:szCs w:val="24"/>
          <w:lang w:val="uk-UA"/>
        </w:rPr>
        <w:t>міста обласного значення.</w:t>
      </w:r>
    </w:p>
    <w:p w:rsidR="00A82B69" w:rsidRPr="0054704C" w:rsidRDefault="0048751B" w:rsidP="006928D5">
      <w:pPr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Любашівська </w:t>
      </w:r>
      <w:r w:rsidR="00A82B69" w:rsidRPr="00B33495">
        <w:rPr>
          <w:rFonts w:ascii="Times New Roman" w:hAnsi="Times New Roman" w:cs="Times New Roman"/>
          <w:sz w:val="24"/>
          <w:szCs w:val="24"/>
          <w:lang w:val="uk-UA"/>
        </w:rPr>
        <w:t xml:space="preserve">ОТГ відноситься до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другої </w:t>
      </w:r>
      <w:r w:rsidR="009A5640">
        <w:rPr>
          <w:rFonts w:ascii="Times New Roman" w:hAnsi="Times New Roman" w:cs="Times New Roman"/>
          <w:sz w:val="24"/>
          <w:szCs w:val="24"/>
          <w:lang w:val="uk-UA"/>
        </w:rPr>
        <w:t xml:space="preserve"> групи.</w:t>
      </w:r>
      <w:r w:rsidR="00A82B69" w:rsidRPr="00B334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6643">
        <w:rPr>
          <w:rFonts w:ascii="Times New Roman" w:hAnsi="Times New Roman" w:cs="Times New Roman"/>
          <w:sz w:val="24"/>
          <w:szCs w:val="24"/>
          <w:lang w:val="uk-UA"/>
        </w:rPr>
        <w:t>В даній групі</w:t>
      </w:r>
      <w:r w:rsidR="00A82B69" w:rsidRPr="00B33495">
        <w:rPr>
          <w:rFonts w:ascii="Times New Roman" w:hAnsi="Times New Roman" w:cs="Times New Roman"/>
          <w:sz w:val="24"/>
          <w:szCs w:val="24"/>
          <w:lang w:val="uk-UA"/>
        </w:rPr>
        <w:t xml:space="preserve"> аналізуються </w:t>
      </w:r>
      <w:r>
        <w:rPr>
          <w:rFonts w:ascii="Times New Roman" w:hAnsi="Times New Roman" w:cs="Times New Roman"/>
          <w:sz w:val="24"/>
          <w:szCs w:val="24"/>
          <w:lang w:val="uk-UA"/>
        </w:rPr>
        <w:t>128</w:t>
      </w:r>
      <w:r w:rsidR="00A82B69" w:rsidRPr="00B33495">
        <w:rPr>
          <w:rFonts w:ascii="Times New Roman" w:hAnsi="Times New Roman" w:cs="Times New Roman"/>
          <w:sz w:val="24"/>
          <w:szCs w:val="24"/>
          <w:lang w:val="uk-UA"/>
        </w:rPr>
        <w:t xml:space="preserve"> ОТГ</w:t>
      </w:r>
      <w:r w:rsidR="00C5664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82B69" w:rsidRPr="00B33495">
        <w:rPr>
          <w:rFonts w:ascii="Times New Roman" w:hAnsi="Times New Roman" w:cs="Times New Roman"/>
          <w:sz w:val="24"/>
          <w:szCs w:val="24"/>
          <w:lang w:val="uk-UA"/>
        </w:rPr>
        <w:t xml:space="preserve"> Серед </w:t>
      </w:r>
      <w:r>
        <w:rPr>
          <w:rFonts w:ascii="Times New Roman" w:hAnsi="Times New Roman" w:cs="Times New Roman"/>
          <w:sz w:val="24"/>
          <w:szCs w:val="24"/>
          <w:lang w:val="uk-UA"/>
        </w:rPr>
        <w:t>128</w:t>
      </w:r>
      <w:r w:rsidR="00A82B69" w:rsidRPr="00B33495">
        <w:rPr>
          <w:rFonts w:ascii="Times New Roman" w:hAnsi="Times New Roman" w:cs="Times New Roman"/>
          <w:sz w:val="24"/>
          <w:szCs w:val="24"/>
          <w:lang w:val="uk-UA"/>
        </w:rPr>
        <w:t xml:space="preserve"> ОТГ, віднесених до 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A82B69" w:rsidRPr="00B33495">
        <w:rPr>
          <w:rFonts w:ascii="Times New Roman" w:hAnsi="Times New Roman" w:cs="Times New Roman"/>
          <w:sz w:val="24"/>
          <w:szCs w:val="24"/>
          <w:lang w:val="uk-UA"/>
        </w:rPr>
        <w:t xml:space="preserve">І групи – 10 громад </w:t>
      </w:r>
      <w:r w:rsidR="006928D5">
        <w:rPr>
          <w:rFonts w:ascii="Times New Roman" w:hAnsi="Times New Roman" w:cs="Times New Roman"/>
          <w:sz w:val="24"/>
          <w:szCs w:val="24"/>
          <w:lang w:val="uk-UA"/>
        </w:rPr>
        <w:t>Одеської</w:t>
      </w:r>
      <w:r w:rsidR="00A82B69" w:rsidRPr="00B334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2B69" w:rsidRPr="0054704C">
        <w:rPr>
          <w:rFonts w:ascii="Times New Roman" w:hAnsi="Times New Roman" w:cs="Times New Roman"/>
          <w:sz w:val="24"/>
          <w:szCs w:val="24"/>
          <w:lang w:val="uk-UA"/>
        </w:rPr>
        <w:t>області.</w:t>
      </w:r>
      <w:r w:rsidR="00C56643" w:rsidRPr="00C566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4704C" w:rsidRPr="0054704C" w:rsidRDefault="0054704C" w:rsidP="0054704C">
      <w:pPr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4704C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 2019 рік оцінювання проведено за 8  індикаторами:</w:t>
      </w:r>
    </w:p>
    <w:p w:rsidR="0054704C" w:rsidRDefault="0054704C" w:rsidP="0054704C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4704C">
        <w:rPr>
          <w:rFonts w:ascii="Times New Roman" w:hAnsi="Times New Roman" w:cs="Times New Roman"/>
          <w:sz w:val="24"/>
          <w:szCs w:val="24"/>
          <w:lang w:val="uk-UA"/>
        </w:rPr>
        <w:t>Доходи загального фонду на 1-го мешканця (співвідношення обсягу надходжень доходів загального фонду без трансфертів до кількості мешканців відповідної ОТГ);</w:t>
      </w:r>
      <w:r w:rsidR="00A371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30447" w:rsidRDefault="00D30447" w:rsidP="00A46788">
      <w:pPr>
        <w:jc w:val="both"/>
        <w:rPr>
          <w:rFonts w:ascii="Times New Roman" w:hAnsi="Times New Roman" w:cs="Times New Roman"/>
          <w:color w:val="00B050"/>
          <w:sz w:val="24"/>
          <w:szCs w:val="24"/>
          <w:lang w:val="uk-UA"/>
        </w:rPr>
      </w:pPr>
      <w:r w:rsidRPr="00A46788">
        <w:rPr>
          <w:rFonts w:ascii="Times New Roman" w:hAnsi="Times New Roman" w:cs="Times New Roman"/>
          <w:noProof/>
          <w:color w:val="00B050"/>
          <w:sz w:val="24"/>
          <w:szCs w:val="24"/>
          <w:highlight w:val="green"/>
          <w:lang w:eastAsia="ru-RU"/>
        </w:rPr>
        <w:drawing>
          <wp:inline distT="0" distB="0" distL="0" distR="0" wp14:anchorId="6DC4E594" wp14:editId="35A8583A">
            <wp:extent cx="6705600" cy="337185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A0085" w:rsidRPr="00A46788" w:rsidRDefault="00CA0085" w:rsidP="00A46788">
      <w:pPr>
        <w:jc w:val="both"/>
        <w:rPr>
          <w:rFonts w:ascii="Times New Roman" w:hAnsi="Times New Roman" w:cs="Times New Roman"/>
          <w:color w:val="00B050"/>
          <w:sz w:val="24"/>
          <w:szCs w:val="24"/>
          <w:lang w:val="uk-UA"/>
        </w:rPr>
      </w:pPr>
    </w:p>
    <w:p w:rsidR="0054704C" w:rsidRDefault="0054704C" w:rsidP="0054704C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4704C">
        <w:rPr>
          <w:rFonts w:ascii="Times New Roman" w:hAnsi="Times New Roman" w:cs="Times New Roman"/>
          <w:sz w:val="24"/>
          <w:szCs w:val="24"/>
          <w:lang w:val="uk-UA"/>
        </w:rPr>
        <w:t>Видатки загального фонду на 1-го мешканця (співвідношення обсягу видатків загального фонду до кількості мешканців відповідної ОТГ);</w:t>
      </w:r>
    </w:p>
    <w:p w:rsidR="00A371F4" w:rsidRDefault="008917C9" w:rsidP="00E747B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696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3FD3AD70" wp14:editId="36B17396">
            <wp:extent cx="6696075" cy="3762375"/>
            <wp:effectExtent l="0" t="0" r="9525" b="952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4704C" w:rsidRDefault="0054704C" w:rsidP="0054704C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4704C">
        <w:rPr>
          <w:rFonts w:ascii="Times New Roman" w:hAnsi="Times New Roman" w:cs="Times New Roman"/>
          <w:sz w:val="24"/>
          <w:szCs w:val="24"/>
          <w:lang w:val="uk-UA"/>
        </w:rPr>
        <w:t>Видатки на утримання апарату управління у розрахунку на 1-го мешканця (співвідношення обсягу видатків на утримання апарату управління, проведених за рахунок коштів загального фонду до кількості мешканців відповідної ОТГ);</w:t>
      </w:r>
    </w:p>
    <w:p w:rsidR="00AD4C37" w:rsidRPr="0054704C" w:rsidRDefault="00AD4C37" w:rsidP="0096258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6258D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12F146EA" wp14:editId="4D3A478A">
            <wp:extent cx="6696075" cy="3695700"/>
            <wp:effectExtent l="0" t="0" r="9525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C2289" w:rsidRDefault="00EC2289" w:rsidP="00EC2289">
      <w:pPr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C2289" w:rsidRDefault="00EC2289" w:rsidP="00EC2289">
      <w:pPr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4704C" w:rsidRDefault="0054704C" w:rsidP="0054704C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4704C">
        <w:rPr>
          <w:rFonts w:ascii="Times New Roman" w:hAnsi="Times New Roman" w:cs="Times New Roman"/>
          <w:sz w:val="24"/>
          <w:szCs w:val="24"/>
          <w:lang w:val="uk-UA"/>
        </w:rPr>
        <w:t>Капітальні видатки на 1-го мешканця (співвідношення обсягу капітальних видатків бюджету громади до кількості мешканців відповідної ОТГ);</w:t>
      </w:r>
    </w:p>
    <w:p w:rsidR="00B91054" w:rsidRPr="0054704C" w:rsidRDefault="00B91054" w:rsidP="00B9105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677025" cy="3371850"/>
            <wp:effectExtent l="0" t="0" r="9525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C2289" w:rsidRDefault="00EC2289" w:rsidP="00EC2289">
      <w:pPr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4704C" w:rsidRDefault="0054704C" w:rsidP="0054704C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4704C">
        <w:rPr>
          <w:rFonts w:ascii="Times New Roman" w:hAnsi="Times New Roman" w:cs="Times New Roman"/>
          <w:sz w:val="24"/>
          <w:szCs w:val="24"/>
          <w:lang w:val="uk-UA"/>
        </w:rPr>
        <w:t xml:space="preserve">Рівень </w:t>
      </w:r>
      <w:proofErr w:type="spellStart"/>
      <w:r w:rsidRPr="0054704C">
        <w:rPr>
          <w:rFonts w:ascii="Times New Roman" w:hAnsi="Times New Roman" w:cs="Times New Roman"/>
          <w:sz w:val="24"/>
          <w:szCs w:val="24"/>
          <w:lang w:val="uk-UA"/>
        </w:rPr>
        <w:t>дотаційності</w:t>
      </w:r>
      <w:proofErr w:type="spellEnd"/>
      <w:r w:rsidRPr="0054704C">
        <w:rPr>
          <w:rFonts w:ascii="Times New Roman" w:hAnsi="Times New Roman" w:cs="Times New Roman"/>
          <w:sz w:val="24"/>
          <w:szCs w:val="24"/>
          <w:lang w:val="uk-UA"/>
        </w:rPr>
        <w:t xml:space="preserve"> бюджетів (співвідношення обсягу базової чи реверсної дотації до загальної суми доходів загального фонду бюджету ОТГ з дотаціями, але без урахування субвенцій з державного бюджету);</w:t>
      </w:r>
    </w:p>
    <w:p w:rsidR="006C684A" w:rsidRPr="0054704C" w:rsidRDefault="006C684A" w:rsidP="006C684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664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124DCDCB" wp14:editId="4DDCA901">
            <wp:extent cx="6819900" cy="3629025"/>
            <wp:effectExtent l="0" t="0" r="19050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C2289" w:rsidRDefault="00EC2289" w:rsidP="0056772B">
      <w:pPr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C2289" w:rsidRDefault="00EC2289" w:rsidP="00EC2289">
      <w:pPr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C2289" w:rsidRDefault="00EC2289" w:rsidP="00EC2289">
      <w:pPr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4704C" w:rsidRDefault="0054704C" w:rsidP="0054704C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4704C">
        <w:rPr>
          <w:rFonts w:ascii="Times New Roman" w:hAnsi="Times New Roman" w:cs="Times New Roman"/>
          <w:sz w:val="24"/>
          <w:szCs w:val="24"/>
          <w:lang w:val="uk-UA"/>
        </w:rPr>
        <w:t>Співвідношення видатків на утримання апарату управління із фінансовими ресурсами ОТГ (співвідношення видатків на утримання апарату управління органів місцевого самоврядування із сумою доходів загального фонду без урахування трансфертів з державного бюджету, у відсотках);</w:t>
      </w:r>
    </w:p>
    <w:p w:rsidR="00EC2289" w:rsidRPr="0054704C" w:rsidRDefault="00EC2289" w:rsidP="00EC228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600825" cy="3381375"/>
            <wp:effectExtent l="0" t="0" r="9525" b="9525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54704C" w:rsidRDefault="0054704C" w:rsidP="0054704C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4704C">
        <w:rPr>
          <w:rFonts w:ascii="Times New Roman" w:hAnsi="Times New Roman" w:cs="Times New Roman"/>
          <w:sz w:val="24"/>
          <w:szCs w:val="24"/>
          <w:lang w:val="uk-UA"/>
        </w:rPr>
        <w:t>Питома вага заробітної плати у видатках загального фонду бюджету ОТГ (відсоткова частка проведених із загального фонду бюджету видатків на заробітну плату з нарахуваннями до обсягу видатків загального фонду бюджету без урахування трансфертів, перерахованих з бюджету ОТГ до інших бюджетів);</w:t>
      </w:r>
    </w:p>
    <w:p w:rsidR="0056772B" w:rsidRPr="0054704C" w:rsidRDefault="0056772B" w:rsidP="00F67A7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7A7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678856BB" wp14:editId="74742EA1">
            <wp:extent cx="6600825" cy="3619500"/>
            <wp:effectExtent l="0" t="0" r="9525" b="190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54704C" w:rsidRPr="0054704C" w:rsidRDefault="0054704C" w:rsidP="0054704C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4704C">
        <w:rPr>
          <w:rFonts w:ascii="Times New Roman" w:hAnsi="Times New Roman" w:cs="Times New Roman"/>
          <w:sz w:val="24"/>
          <w:szCs w:val="24"/>
          <w:lang w:val="uk-UA"/>
        </w:rPr>
        <w:lastRenderedPageBreak/>
        <w:t>Питома вага капітальних видатків у загальному обсязі видатків (частка капітальних видатків у сумарному обсязі видатків загального та спеціального фонду відповідного бюджету ОТГ).</w:t>
      </w:r>
    </w:p>
    <w:p w:rsidR="00D30447" w:rsidRDefault="00F67A74" w:rsidP="003301F4">
      <w:pPr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34125" cy="3552825"/>
            <wp:effectExtent l="0" t="0" r="9525" b="952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3444DE" w:rsidRDefault="00A82B69" w:rsidP="003301F4">
      <w:pPr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33495">
        <w:rPr>
          <w:rFonts w:ascii="Times New Roman" w:hAnsi="Times New Roman" w:cs="Times New Roman"/>
          <w:sz w:val="24"/>
          <w:szCs w:val="24"/>
          <w:lang w:val="uk-UA"/>
        </w:rPr>
        <w:t xml:space="preserve">Таким чином, на підставі аналізу </w:t>
      </w:r>
      <w:r w:rsidR="006928D5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B33495">
        <w:rPr>
          <w:rFonts w:ascii="Times New Roman" w:hAnsi="Times New Roman" w:cs="Times New Roman"/>
          <w:sz w:val="24"/>
          <w:szCs w:val="24"/>
          <w:lang w:val="uk-UA"/>
        </w:rPr>
        <w:t xml:space="preserve"> показників діяльності, наша ОТГ знаходиться на </w:t>
      </w:r>
      <w:r w:rsidR="006928D5">
        <w:rPr>
          <w:rFonts w:ascii="Times New Roman" w:hAnsi="Times New Roman" w:cs="Times New Roman"/>
          <w:sz w:val="24"/>
          <w:szCs w:val="24"/>
          <w:lang w:val="uk-UA"/>
        </w:rPr>
        <w:t xml:space="preserve">23 </w:t>
      </w:r>
      <w:r w:rsidRPr="00B33495">
        <w:rPr>
          <w:rFonts w:ascii="Times New Roman" w:hAnsi="Times New Roman" w:cs="Times New Roman"/>
          <w:sz w:val="24"/>
          <w:szCs w:val="24"/>
          <w:lang w:val="uk-UA"/>
        </w:rPr>
        <w:t xml:space="preserve">місті серед </w:t>
      </w:r>
      <w:r w:rsidR="0054704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928D5">
        <w:rPr>
          <w:rFonts w:ascii="Times New Roman" w:hAnsi="Times New Roman" w:cs="Times New Roman"/>
          <w:sz w:val="24"/>
          <w:szCs w:val="24"/>
          <w:lang w:val="uk-UA"/>
        </w:rPr>
        <w:t>28</w:t>
      </w:r>
      <w:r w:rsidRPr="00B33495">
        <w:rPr>
          <w:rFonts w:ascii="Times New Roman" w:hAnsi="Times New Roman" w:cs="Times New Roman"/>
          <w:sz w:val="24"/>
          <w:szCs w:val="24"/>
          <w:lang w:val="uk-UA"/>
        </w:rPr>
        <w:t xml:space="preserve"> ОТГ, чисельність</w:t>
      </w:r>
      <w:r w:rsidR="00C56643">
        <w:rPr>
          <w:rFonts w:ascii="Times New Roman" w:hAnsi="Times New Roman" w:cs="Times New Roman"/>
          <w:sz w:val="24"/>
          <w:szCs w:val="24"/>
          <w:lang w:val="uk-UA"/>
        </w:rPr>
        <w:t xml:space="preserve"> населення яких складає понад 10</w:t>
      </w:r>
      <w:r w:rsidRPr="00B33495">
        <w:rPr>
          <w:rFonts w:ascii="Times New Roman" w:hAnsi="Times New Roman" w:cs="Times New Roman"/>
          <w:sz w:val="24"/>
          <w:szCs w:val="24"/>
          <w:lang w:val="uk-UA"/>
        </w:rPr>
        <w:t xml:space="preserve"> тис. жителів,</w:t>
      </w:r>
      <w:r w:rsidR="006928D5">
        <w:rPr>
          <w:rFonts w:ascii="Times New Roman" w:hAnsi="Times New Roman" w:cs="Times New Roman"/>
          <w:sz w:val="24"/>
          <w:szCs w:val="24"/>
          <w:lang w:val="uk-UA"/>
        </w:rPr>
        <w:t xml:space="preserve"> та на 5 місці серед громад Одеської області. </w:t>
      </w:r>
    </w:p>
    <w:p w:rsidR="003444DE" w:rsidRDefault="003444DE" w:rsidP="009A564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438900" cy="367665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110473" w:rsidRPr="006F792F" w:rsidRDefault="00835F65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F792F">
        <w:rPr>
          <w:rFonts w:ascii="Times New Roman" w:hAnsi="Times New Roman" w:cs="Times New Roman"/>
          <w:sz w:val="24"/>
          <w:szCs w:val="24"/>
        </w:rPr>
        <w:t>Подробиці</w:t>
      </w:r>
      <w:proofErr w:type="spellEnd"/>
      <w:r w:rsidRPr="006F79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792F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6F79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792F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6F792F">
        <w:rPr>
          <w:rFonts w:ascii="Times New Roman" w:hAnsi="Times New Roman" w:cs="Times New Roman"/>
          <w:sz w:val="24"/>
          <w:szCs w:val="24"/>
        </w:rPr>
        <w:t xml:space="preserve"> рейтингу - за </w:t>
      </w:r>
      <w:proofErr w:type="spellStart"/>
      <w:r w:rsidRPr="006F792F">
        <w:rPr>
          <w:rFonts w:ascii="Times New Roman" w:hAnsi="Times New Roman" w:cs="Times New Roman"/>
          <w:sz w:val="24"/>
          <w:szCs w:val="24"/>
        </w:rPr>
        <w:t>посиланням</w:t>
      </w:r>
      <w:proofErr w:type="spellEnd"/>
      <w:r w:rsidR="00D30447" w:rsidRPr="006F79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r w:rsidR="0054704C" w:rsidRPr="006F792F">
        <w:rPr>
          <w:rFonts w:ascii="Times New Roman" w:hAnsi="Times New Roman" w:cs="Times New Roman"/>
          <w:sz w:val="24"/>
          <w:szCs w:val="24"/>
          <w:lang w:val="uk-UA"/>
        </w:rPr>
        <w:t>https://decentralization.gov.ua/news/12192?fbclid=IwAR0IQyLtuxhZB8Bbb0LjT-oO7gXWZwTZCcPjkuaZTMD9gm1bg2WpOBDdn0w</w:t>
      </w:r>
      <w:bookmarkEnd w:id="0"/>
    </w:p>
    <w:sectPr w:rsidR="00110473" w:rsidRPr="006F792F" w:rsidSect="00A46788">
      <w:type w:val="continuous"/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36497"/>
    <w:multiLevelType w:val="multilevel"/>
    <w:tmpl w:val="61BC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26447"/>
    <w:multiLevelType w:val="multilevel"/>
    <w:tmpl w:val="77AC5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B69"/>
    <w:rsid w:val="00005B4F"/>
    <w:rsid w:val="00110473"/>
    <w:rsid w:val="003301F4"/>
    <w:rsid w:val="003444DE"/>
    <w:rsid w:val="003C51EB"/>
    <w:rsid w:val="0048751B"/>
    <w:rsid w:val="0054704C"/>
    <w:rsid w:val="0056772B"/>
    <w:rsid w:val="006748B4"/>
    <w:rsid w:val="006770FD"/>
    <w:rsid w:val="006928D5"/>
    <w:rsid w:val="006C684A"/>
    <w:rsid w:val="006F792F"/>
    <w:rsid w:val="00835F65"/>
    <w:rsid w:val="00840685"/>
    <w:rsid w:val="008917C9"/>
    <w:rsid w:val="008B6968"/>
    <w:rsid w:val="0096258D"/>
    <w:rsid w:val="009A5640"/>
    <w:rsid w:val="00A371F4"/>
    <w:rsid w:val="00A46788"/>
    <w:rsid w:val="00A82B69"/>
    <w:rsid w:val="00AD4C37"/>
    <w:rsid w:val="00AE5671"/>
    <w:rsid w:val="00B33495"/>
    <w:rsid w:val="00B91054"/>
    <w:rsid w:val="00BC3727"/>
    <w:rsid w:val="00C56643"/>
    <w:rsid w:val="00CA0085"/>
    <w:rsid w:val="00D30447"/>
    <w:rsid w:val="00E07392"/>
    <w:rsid w:val="00E747BC"/>
    <w:rsid w:val="00EA19BF"/>
    <w:rsid w:val="00EC2289"/>
    <w:rsid w:val="00F67A74"/>
    <w:rsid w:val="00F9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2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2B6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35F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2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2B6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35F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5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1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5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www.facebook.com/ULEADwithEurope/" TargetMode="External"/><Relationship Id="rId12" Type="http://schemas.openxmlformats.org/officeDocument/2006/relationships/chart" Target="charts/chart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hart" Target="charts/chart9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1"/>
    </mc:Choice>
    <mc:Fallback>
      <c:style val="31"/>
    </mc:Fallback>
  </mc:AlternateContent>
  <c:chart>
    <c:title>
      <c:layout>
        <c:manualLayout>
          <c:xMode val="edge"/>
          <c:yMode val="edge"/>
          <c:x val="0.12092267626733283"/>
          <c:y val="2.2922636103151862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26522721984790781"/>
          <c:y val="0.125883476599809"/>
          <c:w val="0.70730672870436651"/>
          <c:h val="0.7975103971602403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 доходи загального фонду на 1-го мешканця, грн.</c:v>
                </c:pt>
              </c:strCache>
            </c:strRef>
          </c:tx>
          <c:invertIfNegative val="0"/>
          <c:dPt>
            <c:idx val="4"/>
            <c:invertIfNegative val="0"/>
            <c:bubble3D val="0"/>
            <c:spPr>
              <a:solidFill>
                <a:srgbClr val="7030A0"/>
              </a:solidFill>
            </c:spPr>
          </c:dPt>
          <c:dLbls>
            <c:dLbl>
              <c:idx val="4"/>
              <c:tx>
                <c:rich>
                  <a:bodyPr/>
                  <a:lstStyle/>
                  <a:p>
                    <a:r>
                      <a:rPr lang="en-US" b="1"/>
                      <a:t>4584,1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Лист1!$A$2:$A$11</c:f>
              <c:strCache>
                <c:ptCount val="10"/>
                <c:pt idx="0">
                  <c:v>Авангардівська ОТГ</c:v>
                </c:pt>
                <c:pt idx="1">
                  <c:v>Таїровська ОТГ</c:v>
                </c:pt>
                <c:pt idx="2">
                  <c:v>Красносільська</c:v>
                </c:pt>
                <c:pt idx="3">
                  <c:v>Шабівська ОТГ</c:v>
                </c:pt>
                <c:pt idx="4">
                  <c:v>Любашівська ОТГ</c:v>
                </c:pt>
                <c:pt idx="5">
                  <c:v>Ширяївська ОТГ</c:v>
                </c:pt>
                <c:pt idx="6">
                  <c:v>Великомихайлівська ОТГ</c:v>
                </c:pt>
                <c:pt idx="7">
                  <c:v>Березівська ОТГ</c:v>
                </c:pt>
                <c:pt idx="8">
                  <c:v>Вилківська ОТГ</c:v>
                </c:pt>
                <c:pt idx="9">
                  <c:v>Мологівська ОТГ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 formatCode="#,##0.00">
                  <c:v>12250.5</c:v>
                </c:pt>
                <c:pt idx="1">
                  <c:v>11291.7</c:v>
                </c:pt>
                <c:pt idx="2">
                  <c:v>6833</c:v>
                </c:pt>
                <c:pt idx="3">
                  <c:v>5956.1</c:v>
                </c:pt>
                <c:pt idx="4">
                  <c:v>4584.1000000000004</c:v>
                </c:pt>
                <c:pt idx="5">
                  <c:v>4458.1000000000004</c:v>
                </c:pt>
                <c:pt idx="6">
                  <c:v>4377.2</c:v>
                </c:pt>
                <c:pt idx="7">
                  <c:v>4224.8</c:v>
                </c:pt>
                <c:pt idx="8">
                  <c:v>2646.3</c:v>
                </c:pt>
                <c:pt idx="9">
                  <c:v>1675.6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92769408"/>
        <c:axId val="200991872"/>
      </c:barChart>
      <c:catAx>
        <c:axId val="192769408"/>
        <c:scaling>
          <c:orientation val="minMax"/>
        </c:scaling>
        <c:delete val="0"/>
        <c:axPos val="l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200991872"/>
        <c:crosses val="autoZero"/>
        <c:auto val="1"/>
        <c:lblAlgn val="ctr"/>
        <c:lblOffset val="100"/>
        <c:noMultiLvlLbl val="0"/>
      </c:catAx>
      <c:valAx>
        <c:axId val="200991872"/>
        <c:scaling>
          <c:orientation val="minMax"/>
        </c:scaling>
        <c:delete val="1"/>
        <c:axPos val="b"/>
        <c:numFmt formatCode="#,##0.00" sourceLinked="1"/>
        <c:majorTickMark val="none"/>
        <c:minorTickMark val="none"/>
        <c:tickLblPos val="nextTo"/>
        <c:crossAx val="19276940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0"/>
    </mc:Choice>
    <mc:Fallback>
      <c:style val="30"/>
    </mc:Fallback>
  </mc:AlternateContent>
  <c:chart>
    <c:title>
      <c:layout>
        <c:manualLayout>
          <c:xMode val="edge"/>
          <c:yMode val="edge"/>
          <c:x val="0.18432287109944592"/>
          <c:y val="3.5714285714285712E-2"/>
        </c:manualLayout>
      </c:layout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Видатки загального фонду на 1-го мешканця, грн.</c:v>
                </c:pt>
              </c:strCache>
            </c:strRef>
          </c:tx>
          <c:invertIfNegative val="0"/>
          <c:dPt>
            <c:idx val="9"/>
            <c:invertIfNegative val="0"/>
            <c:bubble3D val="0"/>
            <c:spPr>
              <a:solidFill>
                <a:srgbClr val="00B050"/>
              </a:solidFill>
            </c:spPr>
          </c:dPt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Лист1!$A$2:$A$11</c:f>
              <c:strCache>
                <c:ptCount val="10"/>
                <c:pt idx="0">
                  <c:v>Красносільська</c:v>
                </c:pt>
                <c:pt idx="1">
                  <c:v>Авангардівська ОТГ</c:v>
                </c:pt>
                <c:pt idx="2">
                  <c:v>Шабівська ОТГ</c:v>
                </c:pt>
                <c:pt idx="3">
                  <c:v>Березівська ОТГ</c:v>
                </c:pt>
                <c:pt idx="4">
                  <c:v>Ширяївська ОТГ</c:v>
                </c:pt>
                <c:pt idx="5">
                  <c:v>Вилківська ОТГ</c:v>
                </c:pt>
                <c:pt idx="6">
                  <c:v>Великомихайлівська ОТГ</c:v>
                </c:pt>
                <c:pt idx="7">
                  <c:v>Таїровська ОТГ</c:v>
                </c:pt>
                <c:pt idx="8">
                  <c:v>Мологіївська</c:v>
                </c:pt>
                <c:pt idx="9">
                  <c:v>Любашівська ОТГ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8735.4</c:v>
                </c:pt>
                <c:pt idx="1">
                  <c:v>8339.9</c:v>
                </c:pt>
                <c:pt idx="2">
                  <c:v>7941.9</c:v>
                </c:pt>
                <c:pt idx="3">
                  <c:v>6734.3</c:v>
                </c:pt>
                <c:pt idx="4">
                  <c:v>6623</c:v>
                </c:pt>
                <c:pt idx="5">
                  <c:v>6515.5</c:v>
                </c:pt>
                <c:pt idx="6">
                  <c:v>5966.6</c:v>
                </c:pt>
                <c:pt idx="7">
                  <c:v>4814.7</c:v>
                </c:pt>
                <c:pt idx="8">
                  <c:v>4806.8999999999996</c:v>
                </c:pt>
                <c:pt idx="9">
                  <c:v>2893.3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01075712"/>
        <c:axId val="204166272"/>
      </c:barChart>
      <c:catAx>
        <c:axId val="201075712"/>
        <c:scaling>
          <c:orientation val="minMax"/>
        </c:scaling>
        <c:delete val="0"/>
        <c:axPos val="l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204166272"/>
        <c:crosses val="autoZero"/>
        <c:auto val="1"/>
        <c:lblAlgn val="ctr"/>
        <c:lblOffset val="100"/>
        <c:noMultiLvlLbl val="0"/>
      </c:catAx>
      <c:valAx>
        <c:axId val="20416627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20107571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8"/>
    </mc:Choice>
    <mc:Fallback>
      <c:style val="28"/>
    </mc:Fallback>
  </mc:AlternateContent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0.23768760057197685"/>
          <c:y val="0.25376984126984126"/>
          <c:w val="0.74144943119663387"/>
          <c:h val="0.7462301587301587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Видатки на утримання апарату управління на 1-го мешканця, грн.</c:v>
                </c:pt>
              </c:strCache>
            </c:strRef>
          </c:tx>
          <c:spPr>
            <a:solidFill>
              <a:srgbClr val="FFFF00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CC66FF"/>
              </a:solidFill>
            </c:spPr>
          </c:dPt>
          <c:dLbls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Лист1!$A$3:$A$12</c:f>
              <c:strCache>
                <c:ptCount val="10"/>
                <c:pt idx="0">
                  <c:v>Мологіївська</c:v>
                </c:pt>
                <c:pt idx="1">
                  <c:v>Великомихайлівська ОТГ</c:v>
                </c:pt>
                <c:pt idx="2">
                  <c:v>Любашівська ОТГ</c:v>
                </c:pt>
                <c:pt idx="3">
                  <c:v>Вилківська ОТГ</c:v>
                </c:pt>
                <c:pt idx="4">
                  <c:v>Березівська ОТГ</c:v>
                </c:pt>
                <c:pt idx="5">
                  <c:v>Шабівська ОТГ</c:v>
                </c:pt>
                <c:pt idx="6">
                  <c:v>Авангардівська ОТГ</c:v>
                </c:pt>
                <c:pt idx="7">
                  <c:v>Таїровська ОТГ</c:v>
                </c:pt>
                <c:pt idx="8">
                  <c:v>Ширяївська ОТГ</c:v>
                </c:pt>
                <c:pt idx="9">
                  <c:v>Красносільська</c:v>
                </c:pt>
              </c:strCache>
            </c:strRef>
          </c:cat>
          <c:val>
            <c:numRef>
              <c:f>Лист1!$B$3:$B$12</c:f>
              <c:numCache>
                <c:formatCode>General</c:formatCode>
                <c:ptCount val="10"/>
                <c:pt idx="0">
                  <c:v>378.8</c:v>
                </c:pt>
                <c:pt idx="1">
                  <c:v>646.79999999999995</c:v>
                </c:pt>
                <c:pt idx="2">
                  <c:v>668.2</c:v>
                </c:pt>
                <c:pt idx="3">
                  <c:v>873.3</c:v>
                </c:pt>
                <c:pt idx="4">
                  <c:v>885.8</c:v>
                </c:pt>
                <c:pt idx="5">
                  <c:v>1213.3</c:v>
                </c:pt>
                <c:pt idx="6">
                  <c:v>1293.4000000000001</c:v>
                </c:pt>
                <c:pt idx="7">
                  <c:v>1348.8</c:v>
                </c:pt>
                <c:pt idx="8">
                  <c:v>1404.3</c:v>
                </c:pt>
                <c:pt idx="9">
                  <c:v>2542.5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07068544"/>
        <c:axId val="226542720"/>
      </c:barChart>
      <c:catAx>
        <c:axId val="207068544"/>
        <c:scaling>
          <c:orientation val="minMax"/>
        </c:scaling>
        <c:delete val="0"/>
        <c:axPos val="l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226542720"/>
        <c:crosses val="autoZero"/>
        <c:auto val="1"/>
        <c:lblAlgn val="ctr"/>
        <c:lblOffset val="100"/>
        <c:noMultiLvlLbl val="0"/>
      </c:catAx>
      <c:valAx>
        <c:axId val="22654272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20706854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7"/>
    </mc:Choice>
    <mc:Fallback>
      <c:style val="27"/>
    </mc:Fallback>
  </mc:AlternateContent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0.2383658889999663"/>
          <c:y val="0.15809807672346041"/>
          <c:w val="0.74071161932147922"/>
          <c:h val="0.7620880381154702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Капітальні видатки на 1-го мешканця,грн. </c:v>
                </c:pt>
              </c:strCache>
            </c:strRef>
          </c:tx>
          <c:invertIfNegative val="0"/>
          <c:dPt>
            <c:idx val="4"/>
            <c:invertIfNegative val="0"/>
            <c:bubble3D val="0"/>
            <c:spPr>
              <a:solidFill>
                <a:srgbClr val="0070C0"/>
              </a:solidFill>
            </c:spPr>
          </c:dPt>
          <c:dPt>
            <c:idx val="6"/>
            <c:invertIfNegative val="0"/>
            <c:bubble3D val="0"/>
            <c:spPr>
              <a:solidFill>
                <a:srgbClr val="00CC66"/>
              </a:solidFill>
            </c:spPr>
          </c:dPt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Лист1!$A$3:$A$12</c:f>
              <c:strCache>
                <c:ptCount val="10"/>
                <c:pt idx="0">
                  <c:v>Авангардівська ОТГ</c:v>
                </c:pt>
                <c:pt idx="1">
                  <c:v>Таїровська ОТГ</c:v>
                </c:pt>
                <c:pt idx="2">
                  <c:v>Великомихайлівська ОТГ</c:v>
                </c:pt>
                <c:pt idx="3">
                  <c:v>Шабівська ОТГ</c:v>
                </c:pt>
                <c:pt idx="4">
                  <c:v>Красносільська ОТГ</c:v>
                </c:pt>
                <c:pt idx="5">
                  <c:v>Ширяївська ОТГ</c:v>
                </c:pt>
                <c:pt idx="6">
                  <c:v>Любашівська ОТГ</c:v>
                </c:pt>
                <c:pt idx="7">
                  <c:v>Березівська ОТГ</c:v>
                </c:pt>
                <c:pt idx="8">
                  <c:v>Мологіївська ОТГ</c:v>
                </c:pt>
                <c:pt idx="9">
                  <c:v>Вилківська ОТГ</c:v>
                </c:pt>
              </c:strCache>
            </c:strRef>
          </c:cat>
          <c:val>
            <c:numRef>
              <c:f>Лист1!$B$3:$B$12</c:f>
              <c:numCache>
                <c:formatCode>General</c:formatCode>
                <c:ptCount val="10"/>
                <c:pt idx="0">
                  <c:v>7523.7</c:v>
                </c:pt>
                <c:pt idx="1">
                  <c:v>6432.8</c:v>
                </c:pt>
                <c:pt idx="2">
                  <c:v>2464.6</c:v>
                </c:pt>
                <c:pt idx="3">
                  <c:v>2347.3000000000002</c:v>
                </c:pt>
                <c:pt idx="4">
                  <c:v>2322</c:v>
                </c:pt>
                <c:pt idx="5">
                  <c:v>1835.6</c:v>
                </c:pt>
                <c:pt idx="6">
                  <c:v>1644</c:v>
                </c:pt>
                <c:pt idx="7">
                  <c:v>1503.2</c:v>
                </c:pt>
                <c:pt idx="8">
                  <c:v>917.9</c:v>
                </c:pt>
                <c:pt idx="9">
                  <c:v>849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78801792"/>
        <c:axId val="279397504"/>
      </c:barChart>
      <c:catAx>
        <c:axId val="278801792"/>
        <c:scaling>
          <c:orientation val="minMax"/>
        </c:scaling>
        <c:delete val="0"/>
        <c:axPos val="l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279397504"/>
        <c:crosses val="autoZero"/>
        <c:auto val="1"/>
        <c:lblAlgn val="ctr"/>
        <c:lblOffset val="100"/>
        <c:noMultiLvlLbl val="0"/>
      </c:catAx>
      <c:valAx>
        <c:axId val="27939750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27880179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9"/>
    </mc:Choice>
    <mc:Fallback>
      <c:style val="29"/>
    </mc:Fallback>
  </mc:AlternateContent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1.6279705407722751E-4"/>
          <c:y val="0.15546324425982186"/>
          <c:w val="0.99983720294592282"/>
          <c:h val="0.8445368912219305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Рівень дотаційності бюджетів,%</c:v>
                </c:pt>
              </c:strCache>
            </c:strRef>
          </c:tx>
          <c:invertIfNegative val="0"/>
          <c:dPt>
            <c:idx val="6"/>
            <c:invertIfNegative val="0"/>
            <c:bubble3D val="0"/>
            <c:spPr>
              <a:solidFill>
                <a:srgbClr val="3333CC"/>
              </a:solidFill>
            </c:spPr>
          </c:dPt>
          <c:dLbls>
            <c:dLbl>
              <c:idx val="0"/>
              <c:layout>
                <c:manualLayout>
                  <c:x val="-0.1464574417498811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8.1787922016167386E-2"/>
                  <c:y val="7.407407407407407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Лист1!$A$2:$A$11</c:f>
              <c:strCache>
                <c:ptCount val="10"/>
                <c:pt idx="0">
                  <c:v>Авангардівська ОТГ</c:v>
                </c:pt>
                <c:pt idx="1">
                  <c:v>Таїровська ОТГ</c:v>
                </c:pt>
                <c:pt idx="2">
                  <c:v>Шабівська ОТГ</c:v>
                </c:pt>
                <c:pt idx="3">
                  <c:v>Красносільська ОТГ</c:v>
                </c:pt>
                <c:pt idx="4">
                  <c:v>Великомихайлівська ОТГ</c:v>
                </c:pt>
                <c:pt idx="5">
                  <c:v>Березівська ОТГ</c:v>
                </c:pt>
                <c:pt idx="6">
                  <c:v>Любашівська ОТГ</c:v>
                </c:pt>
                <c:pt idx="7">
                  <c:v>Ширяївська ОТГ</c:v>
                </c:pt>
                <c:pt idx="8">
                  <c:v>Вилківська ОТГ</c:v>
                </c:pt>
                <c:pt idx="9">
                  <c:v>Мологіївська ОТГ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-4.8</c:v>
                </c:pt>
                <c:pt idx="1">
                  <c:v>-2</c:v>
                </c:pt>
                <c:pt idx="2">
                  <c:v>0</c:v>
                </c:pt>
                <c:pt idx="3">
                  <c:v>0</c:v>
                </c:pt>
                <c:pt idx="4">
                  <c:v>5.6</c:v>
                </c:pt>
                <c:pt idx="5">
                  <c:v>6.6</c:v>
                </c:pt>
                <c:pt idx="6">
                  <c:v>7.5</c:v>
                </c:pt>
                <c:pt idx="7">
                  <c:v>7.7</c:v>
                </c:pt>
                <c:pt idx="8">
                  <c:v>22</c:v>
                </c:pt>
                <c:pt idx="9">
                  <c:v>36.299999999999997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92866176"/>
        <c:axId val="199148672"/>
      </c:barChart>
      <c:catAx>
        <c:axId val="192866176"/>
        <c:scaling>
          <c:orientation val="minMax"/>
        </c:scaling>
        <c:delete val="0"/>
        <c:axPos val="l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99148672"/>
        <c:crosses val="autoZero"/>
        <c:auto val="1"/>
        <c:lblAlgn val="ctr"/>
        <c:lblOffset val="100"/>
        <c:noMultiLvlLbl val="0"/>
      </c:catAx>
      <c:valAx>
        <c:axId val="19914867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9286617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2"/>
    </mc:Choice>
    <mc:Fallback>
      <c:style val="32"/>
    </mc:Fallback>
  </mc:AlternateContent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0.23454704525570666"/>
          <c:y val="0.12688507686539183"/>
          <c:w val="0.73645824574958429"/>
          <c:h val="0.8375533621677572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Співвідношення видатків на утримання апарату,%</c:v>
                </c:pt>
              </c:strCache>
            </c:strRef>
          </c:tx>
          <c:invertIfNegative val="0"/>
          <c:dPt>
            <c:idx val="2"/>
            <c:invertIfNegative val="0"/>
            <c:bubble3D val="0"/>
            <c:spPr>
              <a:solidFill>
                <a:srgbClr val="0070C0"/>
              </a:solidFill>
            </c:spPr>
          </c:dPt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Лист1!$F$9:$F$18</c:f>
              <c:strCache>
                <c:ptCount val="10"/>
                <c:pt idx="0">
                  <c:v>Авангардівська ОТГ</c:v>
                </c:pt>
                <c:pt idx="1">
                  <c:v>Таїровська ОТГ</c:v>
                </c:pt>
                <c:pt idx="2">
                  <c:v>Любашівська ОТГ</c:v>
                </c:pt>
                <c:pt idx="3">
                  <c:v>Великомихайлівська ОТГ</c:v>
                </c:pt>
                <c:pt idx="4">
                  <c:v>Шабівська ОТГ</c:v>
                </c:pt>
                <c:pt idx="5">
                  <c:v>Березівська ОТГ</c:v>
                </c:pt>
                <c:pt idx="6">
                  <c:v>Мологівська ОТГ</c:v>
                </c:pt>
                <c:pt idx="7">
                  <c:v>Ширяївська ОТГ</c:v>
                </c:pt>
                <c:pt idx="8">
                  <c:v>Вилківська ОТГ</c:v>
                </c:pt>
                <c:pt idx="9">
                  <c:v>Красносільська ОТГ</c:v>
                </c:pt>
              </c:strCache>
            </c:strRef>
          </c:cat>
          <c:val>
            <c:numRef>
              <c:f>Лист1!$G$9:$G$18</c:f>
              <c:numCache>
                <c:formatCode>General</c:formatCode>
                <c:ptCount val="10"/>
                <c:pt idx="0">
                  <c:v>10.6</c:v>
                </c:pt>
                <c:pt idx="1">
                  <c:v>11.9</c:v>
                </c:pt>
                <c:pt idx="2">
                  <c:v>14.6</c:v>
                </c:pt>
                <c:pt idx="3">
                  <c:v>14.8</c:v>
                </c:pt>
                <c:pt idx="4">
                  <c:v>20.399999999999999</c:v>
                </c:pt>
                <c:pt idx="5" formatCode="0.0">
                  <c:v>21</c:v>
                </c:pt>
                <c:pt idx="6">
                  <c:v>22.6</c:v>
                </c:pt>
                <c:pt idx="7">
                  <c:v>31.5</c:v>
                </c:pt>
                <c:pt idx="8" formatCode="0.0">
                  <c:v>33</c:v>
                </c:pt>
                <c:pt idx="9">
                  <c:v>37.200000000000003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99443200"/>
        <c:axId val="199444736"/>
      </c:barChart>
      <c:catAx>
        <c:axId val="19944320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99444736"/>
        <c:crosses val="autoZero"/>
        <c:auto val="1"/>
        <c:lblAlgn val="ctr"/>
        <c:lblOffset val="100"/>
        <c:noMultiLvlLbl val="0"/>
      </c:catAx>
      <c:valAx>
        <c:axId val="19944473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9944320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8"/>
    </mc:Choice>
    <mc:Fallback>
      <c:style val="28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600"/>
              <a:t>Питома вага заробітної плати у видатках загального фонду,%</a:t>
            </a:r>
          </a:p>
        </c:rich>
      </c:tx>
      <c:layout>
        <c:manualLayout>
          <c:xMode val="edge"/>
          <c:yMode val="edge"/>
          <c:x val="0.11546299136850317"/>
          <c:y val="1.3283326426301978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24111758757428048"/>
          <c:y val="0.15810526315789475"/>
          <c:w val="0.73771839126169836"/>
          <c:h val="0.80329824561403507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Питома вага заробітної плати у видатках загального фонду,%</c:v>
                </c:pt>
              </c:strCache>
            </c:strRef>
          </c:tx>
          <c:invertIfNegative val="0"/>
          <c:dPt>
            <c:idx val="2"/>
            <c:invertIfNegative val="0"/>
            <c:bubble3D val="0"/>
            <c:spPr>
              <a:solidFill>
                <a:srgbClr val="0070C0"/>
              </a:solidFill>
            </c:spPr>
          </c:dPt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Лист1!$A$2:$A$11</c:f>
              <c:strCache>
                <c:ptCount val="10"/>
                <c:pt idx="0">
                  <c:v>Таїровська ОТГ</c:v>
                </c:pt>
                <c:pt idx="1">
                  <c:v>Авангардівська ОТГ</c:v>
                </c:pt>
                <c:pt idx="2">
                  <c:v>Любашівська ОТГ</c:v>
                </c:pt>
                <c:pt idx="3">
                  <c:v>Шабівська ОТГ</c:v>
                </c:pt>
                <c:pt idx="4">
                  <c:v>Красносільська ОТГ</c:v>
                </c:pt>
                <c:pt idx="5">
                  <c:v>Ширяївська ОТГ</c:v>
                </c:pt>
                <c:pt idx="6">
                  <c:v>Вилківська ОТГ</c:v>
                </c:pt>
                <c:pt idx="7">
                  <c:v>Мологівська ОТГ</c:v>
                </c:pt>
                <c:pt idx="8">
                  <c:v>Березівська ОТГ</c:v>
                </c:pt>
                <c:pt idx="9">
                  <c:v>Великомихайлівська ОТГ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43</c:v>
                </c:pt>
                <c:pt idx="1">
                  <c:v>47.3</c:v>
                </c:pt>
                <c:pt idx="2">
                  <c:v>64.599999999999994</c:v>
                </c:pt>
                <c:pt idx="3">
                  <c:v>68.099999999999994</c:v>
                </c:pt>
                <c:pt idx="4">
                  <c:v>70.8</c:v>
                </c:pt>
                <c:pt idx="5">
                  <c:v>71.5</c:v>
                </c:pt>
                <c:pt idx="6">
                  <c:v>72.7</c:v>
                </c:pt>
                <c:pt idx="7">
                  <c:v>75.400000000000006</c:v>
                </c:pt>
                <c:pt idx="8">
                  <c:v>77.3</c:v>
                </c:pt>
                <c:pt idx="9">
                  <c:v>78.599999999999994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99674496"/>
        <c:axId val="199676288"/>
      </c:barChart>
      <c:catAx>
        <c:axId val="199674496"/>
        <c:scaling>
          <c:orientation val="minMax"/>
        </c:scaling>
        <c:delete val="0"/>
        <c:axPos val="l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99676288"/>
        <c:crosses val="autoZero"/>
        <c:auto val="1"/>
        <c:lblAlgn val="ctr"/>
        <c:lblOffset val="100"/>
        <c:noMultiLvlLbl val="0"/>
      </c:catAx>
      <c:valAx>
        <c:axId val="19967628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9967449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5"/>
    </mc:Choice>
    <mc:Fallback>
      <c:style val="25"/>
    </mc:Fallback>
  </mc:AlternateContent>
  <c:chart>
    <c:title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Питома вага капітальних видатків у загальній сумі видатків, %</c:v>
                </c:pt>
              </c:strCache>
            </c:strRef>
          </c:tx>
          <c:spPr>
            <a:solidFill>
              <a:srgbClr val="3333CC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FF"/>
              </a:solidFill>
            </c:spPr>
          </c:dPt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Лист1!$A$2:$A$11</c:f>
              <c:strCache>
                <c:ptCount val="10"/>
                <c:pt idx="0">
                  <c:v>Таїровська ОТГ</c:v>
                </c:pt>
                <c:pt idx="1">
                  <c:v>Авангардівська ОТГ</c:v>
                </c:pt>
                <c:pt idx="2">
                  <c:v>Любашівська ОТГ</c:v>
                </c:pt>
                <c:pt idx="3">
                  <c:v>Великомихайлівська ОТГ</c:v>
                </c:pt>
                <c:pt idx="4">
                  <c:v>Шабівська ОТГ</c:v>
                </c:pt>
                <c:pt idx="5">
                  <c:v>Ширяївська ОТГ</c:v>
                </c:pt>
                <c:pt idx="6">
                  <c:v>Красносільська ОТГ</c:v>
                </c:pt>
                <c:pt idx="7">
                  <c:v>Березівська ОТГ</c:v>
                </c:pt>
                <c:pt idx="8">
                  <c:v>Мологівська ОТГ</c:v>
                </c:pt>
                <c:pt idx="9">
                  <c:v>Вилківська ОТГ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57.2</c:v>
                </c:pt>
                <c:pt idx="1">
                  <c:v>47.2</c:v>
                </c:pt>
                <c:pt idx="2" formatCode="0.0">
                  <c:v>36</c:v>
                </c:pt>
                <c:pt idx="3">
                  <c:v>28.6</c:v>
                </c:pt>
                <c:pt idx="4">
                  <c:v>22.6</c:v>
                </c:pt>
                <c:pt idx="5">
                  <c:v>21.5</c:v>
                </c:pt>
                <c:pt idx="6">
                  <c:v>20.9</c:v>
                </c:pt>
                <c:pt idx="7">
                  <c:v>17.8</c:v>
                </c:pt>
                <c:pt idx="8">
                  <c:v>15.8</c:v>
                </c:pt>
                <c:pt idx="9">
                  <c:v>11.3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00995584"/>
        <c:axId val="200997120"/>
      </c:barChart>
      <c:catAx>
        <c:axId val="200995584"/>
        <c:scaling>
          <c:orientation val="minMax"/>
        </c:scaling>
        <c:delete val="0"/>
        <c:axPos val="l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200997120"/>
        <c:crosses val="autoZero"/>
        <c:auto val="1"/>
        <c:lblAlgn val="ctr"/>
        <c:lblOffset val="100"/>
        <c:noMultiLvlLbl val="0"/>
      </c:catAx>
      <c:valAx>
        <c:axId val="20099712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20099558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1"/>
    </mc:Choice>
    <mc:Fallback>
      <c:style val="31"/>
    </mc:Fallback>
  </mc:AlternateContent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0.24044541769556912"/>
          <c:y val="0.1173576489467314"/>
          <c:w val="0.75166503595334611"/>
          <c:h val="0.86191696245223237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Місце в загальному рейтингу громад  ІІ групи</c:v>
                </c:pt>
              </c:strCache>
            </c:strRef>
          </c:tx>
          <c:spPr>
            <a:solidFill>
              <a:srgbClr val="00CC66"/>
            </a:solidFill>
          </c:spPr>
          <c:invertIfNegative val="0"/>
          <c:dPt>
            <c:idx val="5"/>
            <c:invertIfNegative val="0"/>
            <c:bubble3D val="0"/>
            <c:spPr>
              <a:solidFill>
                <a:srgbClr val="FF99FF"/>
              </a:solidFill>
            </c:spPr>
          </c:dPt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Лист1!$A$2:$A$11</c:f>
              <c:strCache>
                <c:ptCount val="10"/>
                <c:pt idx="0">
                  <c:v>Авангардівська ОТГ</c:v>
                </c:pt>
                <c:pt idx="1">
                  <c:v>Таїровська ОТГ</c:v>
                </c:pt>
                <c:pt idx="2">
                  <c:v>Шабівська ОТГ</c:v>
                </c:pt>
                <c:pt idx="3">
                  <c:v>Великомихайлівська ОТГ</c:v>
                </c:pt>
                <c:pt idx="4">
                  <c:v>Любашівська ОТГ</c:v>
                </c:pt>
                <c:pt idx="5">
                  <c:v>Красносільська ОТГ</c:v>
                </c:pt>
                <c:pt idx="6">
                  <c:v>Березівська ОТГ</c:v>
                </c:pt>
                <c:pt idx="7">
                  <c:v>Ширяївська ОТГ</c:v>
                </c:pt>
                <c:pt idx="8">
                  <c:v>Мологівська ОТГ</c:v>
                </c:pt>
                <c:pt idx="9">
                  <c:v>Вилківська ОТГ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1</c:v>
                </c:pt>
                <c:pt idx="1">
                  <c:v>8</c:v>
                </c:pt>
                <c:pt idx="2">
                  <c:v>13</c:v>
                </c:pt>
                <c:pt idx="3">
                  <c:v>19</c:v>
                </c:pt>
                <c:pt idx="4">
                  <c:v>23</c:v>
                </c:pt>
                <c:pt idx="5">
                  <c:v>33</c:v>
                </c:pt>
                <c:pt idx="6">
                  <c:v>44</c:v>
                </c:pt>
                <c:pt idx="7">
                  <c:v>52</c:v>
                </c:pt>
                <c:pt idx="8">
                  <c:v>90</c:v>
                </c:pt>
                <c:pt idx="9">
                  <c:v>105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01325952"/>
        <c:axId val="201393280"/>
      </c:barChart>
      <c:catAx>
        <c:axId val="201325952"/>
        <c:scaling>
          <c:orientation val="minMax"/>
        </c:scaling>
        <c:delete val="0"/>
        <c:axPos val="l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201393280"/>
        <c:crosses val="autoZero"/>
        <c:auto val="1"/>
        <c:lblAlgn val="ctr"/>
        <c:lblOffset val="100"/>
        <c:noMultiLvlLbl val="0"/>
      </c:catAx>
      <c:valAx>
        <c:axId val="201393280"/>
        <c:scaling>
          <c:orientation val="minMax"/>
          <c:min val="0.5"/>
        </c:scaling>
        <c:delete val="1"/>
        <c:axPos val="b"/>
        <c:numFmt formatCode="General" sourceLinked="1"/>
        <c:majorTickMark val="out"/>
        <c:minorTickMark val="none"/>
        <c:tickLblPos val="nextTo"/>
        <c:crossAx val="20132595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2020-02-28T09:51:00Z</cp:lastPrinted>
  <dcterms:created xsi:type="dcterms:W3CDTF">2020-02-27T09:02:00Z</dcterms:created>
  <dcterms:modified xsi:type="dcterms:W3CDTF">2020-02-28T10:05:00Z</dcterms:modified>
</cp:coreProperties>
</file>