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D7A" w:rsidRPr="00D75DE7" w:rsidRDefault="00E85D7A" w:rsidP="00E85D7A">
      <w:pPr>
        <w:jc w:val="right"/>
        <w:rPr>
          <w:b/>
          <w:lang w:val="uk-UA"/>
        </w:rPr>
      </w:pPr>
      <w:r w:rsidRPr="00D75DE7">
        <w:rPr>
          <w:b/>
          <w:lang w:val="uk-UA"/>
        </w:rPr>
        <w:t>Додаток 1</w:t>
      </w:r>
    </w:p>
    <w:p w:rsidR="00E85D7A" w:rsidRPr="0032164F" w:rsidRDefault="00E85D7A" w:rsidP="00E85D7A">
      <w:pPr>
        <w:jc w:val="center"/>
        <w:rPr>
          <w:b/>
          <w:lang w:val="uk-UA"/>
        </w:rPr>
      </w:pPr>
      <w:r w:rsidRPr="0032164F">
        <w:rPr>
          <w:b/>
        </w:rPr>
        <w:t xml:space="preserve">Заходи </w:t>
      </w:r>
      <w:r w:rsidRPr="0032164F">
        <w:rPr>
          <w:b/>
          <w:lang w:val="uk-UA"/>
        </w:rPr>
        <w:t xml:space="preserve">Програми розвитку малого </w:t>
      </w:r>
      <w:r>
        <w:rPr>
          <w:b/>
          <w:lang w:val="uk-UA"/>
        </w:rPr>
        <w:t xml:space="preserve">та </w:t>
      </w:r>
      <w:r w:rsidRPr="0032164F">
        <w:rPr>
          <w:b/>
          <w:lang w:val="uk-UA"/>
        </w:rPr>
        <w:t xml:space="preserve"> середнього </w:t>
      </w:r>
      <w:proofErr w:type="gramStart"/>
      <w:r w:rsidRPr="0032164F">
        <w:rPr>
          <w:b/>
          <w:lang w:val="uk-UA"/>
        </w:rPr>
        <w:t>п</w:t>
      </w:r>
      <w:proofErr w:type="gramEnd"/>
      <w:r w:rsidRPr="0032164F">
        <w:rPr>
          <w:b/>
          <w:lang w:val="uk-UA"/>
        </w:rPr>
        <w:t>ідприємництва</w:t>
      </w:r>
    </w:p>
    <w:p w:rsidR="00E85D7A" w:rsidRPr="0032164F" w:rsidRDefault="00E85D7A" w:rsidP="00E85D7A">
      <w:pPr>
        <w:jc w:val="center"/>
        <w:rPr>
          <w:b/>
          <w:lang w:val="uk-UA"/>
        </w:rPr>
      </w:pPr>
      <w:r w:rsidRPr="0032164F">
        <w:rPr>
          <w:b/>
          <w:lang w:val="uk-UA"/>
        </w:rPr>
        <w:t xml:space="preserve">у </w:t>
      </w:r>
      <w:r>
        <w:rPr>
          <w:b/>
          <w:lang w:val="uk-UA"/>
        </w:rPr>
        <w:t>Любашівс</w:t>
      </w:r>
      <w:r w:rsidRPr="0032164F">
        <w:rPr>
          <w:b/>
          <w:lang w:val="uk-UA"/>
        </w:rPr>
        <w:t>ькій  територіальній громаді на 2021-2023 роки</w:t>
      </w:r>
    </w:p>
    <w:tbl>
      <w:tblPr>
        <w:tblW w:w="158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981"/>
        <w:gridCol w:w="2707"/>
        <w:gridCol w:w="697"/>
        <w:gridCol w:w="1297"/>
        <w:gridCol w:w="120"/>
        <w:gridCol w:w="16"/>
        <w:gridCol w:w="1968"/>
        <w:gridCol w:w="147"/>
        <w:gridCol w:w="1275"/>
        <w:gridCol w:w="137"/>
        <w:gridCol w:w="851"/>
        <w:gridCol w:w="146"/>
        <w:gridCol w:w="11"/>
        <w:gridCol w:w="30"/>
        <w:gridCol w:w="42"/>
        <w:gridCol w:w="621"/>
        <w:gridCol w:w="35"/>
        <w:gridCol w:w="12"/>
        <w:gridCol w:w="52"/>
        <w:gridCol w:w="610"/>
        <w:gridCol w:w="50"/>
        <w:gridCol w:w="8"/>
        <w:gridCol w:w="2497"/>
      </w:tblGrid>
      <w:tr w:rsidR="00E85D7A" w:rsidRPr="0032164F" w:rsidTr="008878D4">
        <w:trPr>
          <w:trHeight w:val="418"/>
        </w:trPr>
        <w:tc>
          <w:tcPr>
            <w:tcW w:w="540" w:type="dxa"/>
            <w:vMerge w:val="restart"/>
          </w:tcPr>
          <w:p w:rsidR="00E85D7A" w:rsidRPr="0032164F" w:rsidRDefault="00E85D7A" w:rsidP="008878D4">
            <w:pPr>
              <w:jc w:val="center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1982" w:type="dxa"/>
            <w:vMerge w:val="restart"/>
          </w:tcPr>
          <w:p w:rsidR="00E85D7A" w:rsidRPr="0032164F" w:rsidRDefault="00E85D7A" w:rsidP="008878D4">
            <w:pPr>
              <w:keepNext/>
              <w:jc w:val="center"/>
              <w:outlineLvl w:val="2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Пріоритетні завдання</w:t>
            </w:r>
          </w:p>
        </w:tc>
        <w:tc>
          <w:tcPr>
            <w:tcW w:w="3405" w:type="dxa"/>
            <w:gridSpan w:val="2"/>
            <w:vMerge w:val="restart"/>
          </w:tcPr>
          <w:p w:rsidR="00E85D7A" w:rsidRPr="0032164F" w:rsidRDefault="00E85D7A" w:rsidP="008878D4">
            <w:pPr>
              <w:keepNext/>
              <w:jc w:val="center"/>
              <w:outlineLvl w:val="2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Зміст заходів</w:t>
            </w:r>
          </w:p>
        </w:tc>
        <w:tc>
          <w:tcPr>
            <w:tcW w:w="1433" w:type="dxa"/>
            <w:gridSpan w:val="3"/>
            <w:vMerge w:val="restart"/>
          </w:tcPr>
          <w:p w:rsidR="00E85D7A" w:rsidRPr="0032164F" w:rsidRDefault="00E85D7A" w:rsidP="008878D4">
            <w:pPr>
              <w:jc w:val="center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Термін виконання</w:t>
            </w:r>
          </w:p>
        </w:tc>
        <w:tc>
          <w:tcPr>
            <w:tcW w:w="2116" w:type="dxa"/>
            <w:gridSpan w:val="2"/>
            <w:vMerge w:val="restart"/>
          </w:tcPr>
          <w:p w:rsidR="00E85D7A" w:rsidRPr="0032164F" w:rsidRDefault="00E85D7A" w:rsidP="008878D4">
            <w:pPr>
              <w:keepNext/>
              <w:jc w:val="center"/>
              <w:outlineLvl w:val="2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Виконавці</w:t>
            </w:r>
          </w:p>
        </w:tc>
        <w:tc>
          <w:tcPr>
            <w:tcW w:w="1412" w:type="dxa"/>
            <w:gridSpan w:val="2"/>
            <w:vMerge w:val="restart"/>
          </w:tcPr>
          <w:p w:rsidR="00E85D7A" w:rsidRPr="0032164F" w:rsidRDefault="00E85D7A" w:rsidP="008878D4">
            <w:pPr>
              <w:jc w:val="center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2410" w:type="dxa"/>
            <w:gridSpan w:val="10"/>
          </w:tcPr>
          <w:p w:rsidR="00E85D7A" w:rsidRPr="0032164F" w:rsidRDefault="00E85D7A" w:rsidP="008878D4">
            <w:pPr>
              <w:jc w:val="center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Обсяги фінансування по роках, тис. грн.</w:t>
            </w:r>
          </w:p>
        </w:tc>
        <w:tc>
          <w:tcPr>
            <w:tcW w:w="2551" w:type="dxa"/>
            <w:gridSpan w:val="3"/>
            <w:vMerge w:val="restart"/>
          </w:tcPr>
          <w:p w:rsidR="00E85D7A" w:rsidRPr="0032164F" w:rsidRDefault="00E85D7A" w:rsidP="008878D4">
            <w:pPr>
              <w:jc w:val="center"/>
              <w:rPr>
                <w:b/>
                <w:color w:val="000000"/>
                <w:lang w:val="uk-UA"/>
              </w:rPr>
            </w:pPr>
            <w:r w:rsidRPr="0032164F">
              <w:rPr>
                <w:b/>
                <w:color w:val="000000"/>
                <w:lang w:val="uk-UA"/>
              </w:rPr>
              <w:t>Очікуваний результат</w:t>
            </w:r>
          </w:p>
        </w:tc>
      </w:tr>
      <w:tr w:rsidR="00E85D7A" w:rsidRPr="0032164F" w:rsidTr="008878D4">
        <w:trPr>
          <w:trHeight w:val="319"/>
        </w:trPr>
        <w:tc>
          <w:tcPr>
            <w:tcW w:w="540" w:type="dxa"/>
            <w:vMerge/>
          </w:tcPr>
          <w:p w:rsidR="00E85D7A" w:rsidRPr="0032164F" w:rsidRDefault="00E85D7A" w:rsidP="008878D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2" w:type="dxa"/>
            <w:vMerge/>
          </w:tcPr>
          <w:p w:rsidR="00E85D7A" w:rsidRPr="0032164F" w:rsidRDefault="00E85D7A" w:rsidP="008878D4">
            <w:pPr>
              <w:keepNext/>
              <w:jc w:val="both"/>
              <w:outlineLvl w:val="2"/>
              <w:rPr>
                <w:b/>
                <w:color w:val="000000"/>
                <w:sz w:val="28"/>
                <w:szCs w:val="20"/>
                <w:lang w:val="uk-UA"/>
              </w:rPr>
            </w:pPr>
          </w:p>
        </w:tc>
        <w:tc>
          <w:tcPr>
            <w:tcW w:w="3405" w:type="dxa"/>
            <w:gridSpan w:val="2"/>
            <w:vMerge/>
          </w:tcPr>
          <w:p w:rsidR="00E85D7A" w:rsidRPr="0032164F" w:rsidRDefault="00E85D7A" w:rsidP="008878D4">
            <w:pPr>
              <w:keepNext/>
              <w:jc w:val="both"/>
              <w:outlineLvl w:val="2"/>
              <w:rPr>
                <w:b/>
                <w:color w:val="000000"/>
                <w:sz w:val="28"/>
                <w:szCs w:val="20"/>
                <w:lang w:val="uk-UA"/>
              </w:rPr>
            </w:pPr>
          </w:p>
        </w:tc>
        <w:tc>
          <w:tcPr>
            <w:tcW w:w="1433" w:type="dxa"/>
            <w:gridSpan w:val="3"/>
            <w:vMerge/>
          </w:tcPr>
          <w:p w:rsidR="00E85D7A" w:rsidRPr="0032164F" w:rsidRDefault="00E85D7A" w:rsidP="008878D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16" w:type="dxa"/>
            <w:gridSpan w:val="2"/>
            <w:vMerge/>
          </w:tcPr>
          <w:p w:rsidR="00E85D7A" w:rsidRPr="0032164F" w:rsidRDefault="00E85D7A" w:rsidP="008878D4">
            <w:pPr>
              <w:keepNext/>
              <w:jc w:val="both"/>
              <w:outlineLvl w:val="2"/>
              <w:rPr>
                <w:b/>
                <w:color w:val="000000"/>
                <w:sz w:val="28"/>
                <w:szCs w:val="20"/>
                <w:lang w:val="uk-UA"/>
              </w:rPr>
            </w:pPr>
          </w:p>
        </w:tc>
        <w:tc>
          <w:tcPr>
            <w:tcW w:w="1412" w:type="dxa"/>
            <w:gridSpan w:val="2"/>
            <w:vMerge/>
          </w:tcPr>
          <w:p w:rsidR="00E85D7A" w:rsidRPr="0032164F" w:rsidRDefault="00E85D7A" w:rsidP="008878D4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85D7A" w:rsidRPr="0032164F" w:rsidRDefault="00E85D7A" w:rsidP="008878D4">
            <w:pPr>
              <w:rPr>
                <w:b/>
                <w:color w:val="000000"/>
                <w:sz w:val="20"/>
                <w:szCs w:val="20"/>
                <w:lang w:val="uk-UA"/>
              </w:rPr>
            </w:pPr>
            <w:r w:rsidRPr="0032164F">
              <w:rPr>
                <w:b/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850" w:type="dxa"/>
            <w:gridSpan w:val="5"/>
          </w:tcPr>
          <w:p w:rsidR="00E85D7A" w:rsidRPr="0032164F" w:rsidRDefault="00E85D7A" w:rsidP="008878D4">
            <w:pPr>
              <w:rPr>
                <w:b/>
                <w:color w:val="000000"/>
                <w:sz w:val="20"/>
                <w:szCs w:val="20"/>
                <w:lang w:val="uk-UA"/>
              </w:rPr>
            </w:pPr>
            <w:r w:rsidRPr="0032164F">
              <w:rPr>
                <w:b/>
                <w:color w:val="000000"/>
                <w:sz w:val="20"/>
                <w:szCs w:val="20"/>
                <w:lang w:val="uk-UA"/>
              </w:rPr>
              <w:t>2022</w:t>
            </w:r>
          </w:p>
        </w:tc>
        <w:tc>
          <w:tcPr>
            <w:tcW w:w="709" w:type="dxa"/>
            <w:gridSpan w:val="4"/>
          </w:tcPr>
          <w:p w:rsidR="00E85D7A" w:rsidRPr="0032164F" w:rsidRDefault="00E85D7A" w:rsidP="008878D4">
            <w:pPr>
              <w:rPr>
                <w:b/>
                <w:color w:val="000000"/>
                <w:sz w:val="20"/>
                <w:szCs w:val="20"/>
                <w:lang w:val="uk-UA"/>
              </w:rPr>
            </w:pPr>
            <w:r w:rsidRPr="0032164F">
              <w:rPr>
                <w:b/>
                <w:color w:val="000000"/>
                <w:sz w:val="20"/>
                <w:szCs w:val="20"/>
                <w:lang w:val="uk-UA"/>
              </w:rPr>
              <w:t>2023</w:t>
            </w:r>
          </w:p>
        </w:tc>
        <w:tc>
          <w:tcPr>
            <w:tcW w:w="2551" w:type="dxa"/>
            <w:gridSpan w:val="3"/>
            <w:vMerge/>
          </w:tcPr>
          <w:p w:rsidR="00E85D7A" w:rsidRPr="0032164F" w:rsidRDefault="00E85D7A" w:rsidP="008878D4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85D7A" w:rsidRPr="0032164F" w:rsidTr="008878D4">
        <w:tc>
          <w:tcPr>
            <w:tcW w:w="15849" w:type="dxa"/>
            <w:gridSpan w:val="24"/>
          </w:tcPr>
          <w:p w:rsidR="00E85D7A" w:rsidRPr="0032164F" w:rsidRDefault="00E85D7A" w:rsidP="008878D4">
            <w:pPr>
              <w:keepNext/>
              <w:spacing w:before="120"/>
              <w:jc w:val="center"/>
              <w:outlineLvl w:val="2"/>
              <w:rPr>
                <w:color w:val="000000"/>
                <w:sz w:val="20"/>
                <w:szCs w:val="20"/>
                <w:lang w:val="uk-UA"/>
              </w:rPr>
            </w:pPr>
            <w:r w:rsidRPr="0032164F">
              <w:rPr>
                <w:b/>
                <w:i/>
                <w:color w:val="000000"/>
                <w:lang w:val="uk-UA"/>
              </w:rPr>
              <w:t>1.  Впорядкування нормативного регулювання підприємницької діяльності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1.1 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Здійснення державної регуляторної політики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в сфері підприємницької діяльності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1.1.1</w:t>
            </w:r>
            <w:r w:rsidRPr="0032164F">
              <w:rPr>
                <w:sz w:val="22"/>
                <w:szCs w:val="22"/>
                <w:lang w:val="uk-UA"/>
              </w:rPr>
              <w:t xml:space="preserve"> Підготовка та затвердження плану діяльності з підготовки проектів регуляторних актів,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їх оприлюднення у засобах масової інформації та на веб-сайті             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sz w:val="22"/>
                <w:szCs w:val="22"/>
                <w:lang w:val="uk-UA"/>
              </w:rPr>
              <w:t xml:space="preserve">Щороку </w:t>
            </w: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sz w:val="22"/>
                <w:szCs w:val="22"/>
                <w:lang w:val="uk-UA"/>
              </w:rPr>
              <w:t>до 15    грудня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34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51" w:type="dxa"/>
            <w:gridSpan w:val="6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Забезпечення системності, послідовності дій з підготовки та прийняття регуляторних актів</w:t>
            </w: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1.1.2. Забезпечення оприлюднення та публічного обговорення проектів регуляторних актів та аналізу їх регуляторного впливу, що суттєво впливають на ринкове середовище та інтереси підприємців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2164F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Прийняття ефективних нормативно-правових актів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1.1.3. Забезпечення проведення відстеження ефективності дії регуляторних актів 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2164F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Вдосконалення </w:t>
            </w:r>
            <w:proofErr w:type="spellStart"/>
            <w:r w:rsidRPr="0032164F">
              <w:rPr>
                <w:color w:val="000000"/>
                <w:sz w:val="22"/>
                <w:szCs w:val="22"/>
                <w:lang w:val="uk-UA"/>
              </w:rPr>
              <w:t>регулю-вання</w:t>
            </w:r>
            <w:proofErr w:type="spellEnd"/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 підприємницької діяльності. Уникнення фактів прийняття неефективних регуляторних актів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1.1.4. Здійснення перегляду регуляторних актів щодо їх відповідності принципам державної регуляторної політики та приведення їх у відповідність до норм чинного законодавства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2164F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Забезпечення ефективності регуляторної діяльності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ind w:right="-157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1.1.5. </w:t>
            </w:r>
            <w:r w:rsidRPr="0032164F">
              <w:rPr>
                <w:sz w:val="22"/>
                <w:szCs w:val="22"/>
                <w:lang w:val="uk-UA"/>
              </w:rPr>
              <w:t>Забезпечення обговорень регуляторних актів шляхом проведення громадських слухань, засідань за круглими столами тощо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ind w:right="-78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uk-UA"/>
              </w:rPr>
              <w:t>Організаційний відділ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Default="00E85D7A" w:rsidP="00E85D7A">
            <w:pPr>
              <w:ind w:right="-108"/>
              <w:rPr>
                <w:color w:val="000000"/>
                <w:sz w:val="22"/>
                <w:szCs w:val="22"/>
                <w:lang w:val="uk-UA"/>
              </w:rPr>
            </w:pPr>
            <w:r w:rsidRPr="00E85D7A">
              <w:rPr>
                <w:color w:val="000000"/>
                <w:sz w:val="22"/>
                <w:szCs w:val="22"/>
                <w:lang w:val="uk-UA"/>
              </w:rPr>
              <w:t>Забезпечення прозорості регуля</w:t>
            </w:r>
            <w:r>
              <w:rPr>
                <w:color w:val="000000"/>
                <w:sz w:val="22"/>
                <w:szCs w:val="22"/>
                <w:lang w:val="uk-UA"/>
              </w:rPr>
              <w:t>т</w:t>
            </w:r>
            <w:r w:rsidRPr="00E85D7A">
              <w:rPr>
                <w:color w:val="000000"/>
                <w:sz w:val="22"/>
                <w:szCs w:val="22"/>
                <w:lang w:val="uk-UA"/>
              </w:rPr>
              <w:t>орної діяльності та уникнення фактів              прийняття неефективних регуляторних актів</w:t>
            </w:r>
          </w:p>
          <w:p w:rsidR="00E85D7A" w:rsidRPr="00E85D7A" w:rsidRDefault="00E85D7A" w:rsidP="00E85D7A">
            <w:pPr>
              <w:ind w:right="-108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lastRenderedPageBreak/>
              <w:t>1.2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Удосконалення системи видачі документів дозвільного характеру, спрощення адміністративно-дозвільних процедур</w:t>
            </w: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1.2.1. Оперативне реагування на зміни в дозвільному законодавстві, розробка та внесення пропозицій до центральних органів виконавчої влади щодо спрощення адміністративно-дозвільних процедур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Спрощений та прозорий механізм видачі документів дозвільного характеру для суб’єктів господарської діяльності, удосконалення адміністративно-дозвільних процедур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1.2.2. </w:t>
            </w:r>
            <w:r w:rsidRPr="0032164F">
              <w:rPr>
                <w:sz w:val="22"/>
                <w:szCs w:val="22"/>
                <w:lang w:val="uk-UA"/>
              </w:rPr>
              <w:t xml:space="preserve">Здійснення анкетування  СГД з питань якісного надання </w:t>
            </w:r>
            <w:proofErr w:type="spellStart"/>
            <w:r w:rsidRPr="0032164F">
              <w:rPr>
                <w:sz w:val="22"/>
                <w:szCs w:val="22"/>
                <w:lang w:val="uk-UA"/>
              </w:rPr>
              <w:t>адмінпослуг</w:t>
            </w:r>
            <w:proofErr w:type="spellEnd"/>
            <w:r w:rsidRPr="0032164F">
              <w:rPr>
                <w:sz w:val="22"/>
                <w:szCs w:val="22"/>
                <w:lang w:val="uk-UA"/>
              </w:rPr>
              <w:t>, у тому числі з видачі документів, наявності правових, організаційних перешкод у їх отриманні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Удосконалення якості надання адміністративних послуг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1.2.3. </w:t>
            </w:r>
            <w:r w:rsidRPr="0032164F">
              <w:rPr>
                <w:sz w:val="22"/>
                <w:szCs w:val="22"/>
                <w:lang w:val="uk-UA"/>
              </w:rPr>
              <w:t>Оприлюднення актуальної та повної інформації про адміністративні послуги, які надаються через центри надання адміністративних послуг на інформаційних стендах, офіційному веб-сайті, у засобах масової інформації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Центр надання адміністративних послуг 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Підвищення ефективності процедури видачі документів дозвільного характеру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1.3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bCs/>
                <w:iCs/>
                <w:color w:val="000000"/>
                <w:sz w:val="22"/>
                <w:szCs w:val="22"/>
                <w:lang w:val="uk-UA"/>
              </w:rPr>
              <w:t>Зменшення адміністративного тиску у сфері нагляду і контролю</w:t>
            </w: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1.3.1. Підготовка пропозицій спільно з громадськими організаціями, суб’єктами підприємництва до центральних органів виконавчої влади про внесення змін до законодавчих актів щодо удосконалення державного нагляду (контролю)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Відділ </w:t>
            </w:r>
            <w:r>
              <w:rPr>
                <w:color w:val="000000"/>
                <w:sz w:val="22"/>
                <w:szCs w:val="22"/>
                <w:lang w:val="uk-UA"/>
              </w:rPr>
              <w:t>перспективного розвитку і сільського господарства,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громадські організації і об’єднання підприємців, державні наглядові та контролюючі органи (за згодою)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Налагодження ефективної взаємодії між бізнесом і владою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1.3.2. Ініціювання змін до Податкового кодексу України щодо зменшення кількості податків та зборів, спрощення їх адміністрування, податкової звітності, застосування податкових «канікул»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Громадські організації і об’єднання підприємців </w:t>
            </w: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Налагодження взаємодії між бізнесом і владою з метою забезпечення </w:t>
            </w:r>
            <w:proofErr w:type="spellStart"/>
            <w:r w:rsidRPr="0032164F">
              <w:rPr>
                <w:color w:val="000000"/>
                <w:sz w:val="22"/>
                <w:szCs w:val="22"/>
                <w:lang w:val="uk-UA"/>
              </w:rPr>
              <w:t>ефектив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2164F">
              <w:rPr>
                <w:color w:val="000000"/>
                <w:sz w:val="22"/>
                <w:szCs w:val="22"/>
                <w:lang w:val="uk-UA"/>
              </w:rPr>
              <w:t>ного</w:t>
            </w:r>
            <w:proofErr w:type="spellEnd"/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реформування податкової системи України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1.3.3. Здійснення інформаційно-консультативної роботи для  СГД щодо недопущення порушень у сфері підприємницької діяльності шляхом проведення семінарів, «круглих столів», публікацій у  ЗМІ, оприлюднення на офіційних веб-сайтах</w:t>
            </w:r>
          </w:p>
        </w:tc>
        <w:tc>
          <w:tcPr>
            <w:tcW w:w="1417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27" w:type="dxa"/>
            <w:gridSpan w:val="3"/>
          </w:tcPr>
          <w:p w:rsidR="00E85D7A" w:rsidRPr="008011F7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color w:val="FF0000"/>
                <w:sz w:val="22"/>
                <w:szCs w:val="22"/>
                <w:lang w:val="uk-UA"/>
              </w:rPr>
              <w:t xml:space="preserve"> </w:t>
            </w:r>
            <w:r w:rsidRPr="008011F7">
              <w:rPr>
                <w:sz w:val="22"/>
                <w:szCs w:val="22"/>
                <w:lang w:val="uk-UA"/>
              </w:rPr>
              <w:t>ДПС,  інші контролюючі органи</w:t>
            </w:r>
          </w:p>
          <w:p w:rsidR="00E85D7A" w:rsidRPr="0032164F" w:rsidRDefault="00E85D7A" w:rsidP="008878D4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14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32" w:type="dxa"/>
            <w:gridSpan w:val="5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498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Підвищення рівня обізнаності суб’єктів підприємницької діяльності</w:t>
            </w:r>
          </w:p>
        </w:tc>
      </w:tr>
      <w:tr w:rsidR="00E85D7A" w:rsidRPr="0032164F" w:rsidTr="008878D4">
        <w:tc>
          <w:tcPr>
            <w:tcW w:w="15849" w:type="dxa"/>
            <w:gridSpan w:val="24"/>
            <w:vAlign w:val="center"/>
          </w:tcPr>
          <w:p w:rsidR="00E85D7A" w:rsidRPr="0032164F" w:rsidRDefault="00E85D7A" w:rsidP="008878D4">
            <w:pPr>
              <w:spacing w:before="120"/>
              <w:jc w:val="center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b/>
                <w:i/>
                <w:color w:val="000000"/>
                <w:sz w:val="22"/>
                <w:szCs w:val="22"/>
                <w:lang w:val="uk-UA"/>
              </w:rPr>
              <w:t>2. Інформаційна, ресурсна та фінансово-кредитна підтримка малого і середнього бізнесу</w:t>
            </w: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2.1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Удосконалення системи інформаційної та ресурсної підтримки суб’єктів малого і середнього бізнесу 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2.1.1. Надання безоплатних індивідуальних і групових консультацій з питань організації та провадження підприємницької діяльності 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ind w:left="-81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Любашівська філія Одеського обласного центру зайнятості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, ДПС</w:t>
            </w:r>
            <w:r w:rsidRPr="0032164F">
              <w:rPr>
                <w:sz w:val="22"/>
                <w:szCs w:val="22"/>
                <w:lang w:val="uk-UA"/>
              </w:rPr>
              <w:t xml:space="preserve">,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інші органи державної влади, громадські організації підприємців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Отримання широким колом суб’єктів малого і середнього підприємництва інформаційно-консультативних послуг з метою підвищення культури та ефективності ведення бізнесу, поширення практики застосування податкового законодавства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2.1.2. Забезпечення вільного доступу підприємців до нормативно-правових документів міської ради, що регулюють</w:t>
            </w: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здійснення підприємницької діяльності, ресурсів громади, інформації про закупівлі товарів, робіт, послуг, проведення виставок, ярмарок тощо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sz w:val="22"/>
                <w:szCs w:val="22"/>
                <w:lang w:val="uk-UA"/>
              </w:rPr>
              <w:t xml:space="preserve">Структурні підрозділи </w:t>
            </w:r>
            <w:r>
              <w:rPr>
                <w:sz w:val="22"/>
                <w:szCs w:val="22"/>
                <w:lang w:val="uk-UA"/>
              </w:rPr>
              <w:t>селищн</w:t>
            </w:r>
            <w:r w:rsidRPr="0032164F">
              <w:rPr>
                <w:sz w:val="22"/>
                <w:szCs w:val="22"/>
                <w:lang w:val="uk-UA"/>
              </w:rPr>
              <w:t>ої ради</w:t>
            </w:r>
          </w:p>
          <w:p w:rsidR="00E85D7A" w:rsidRPr="0032164F" w:rsidRDefault="00E85D7A" w:rsidP="008878D4">
            <w:pPr>
              <w:rPr>
                <w:sz w:val="22"/>
                <w:szCs w:val="22"/>
                <w:lang w:val="uk-UA"/>
              </w:rPr>
            </w:pPr>
            <w:r w:rsidRPr="0032164F">
              <w:rPr>
                <w:sz w:val="22"/>
                <w:szCs w:val="22"/>
                <w:lang w:val="uk-UA"/>
              </w:rPr>
              <w:t xml:space="preserve"> 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Вільний доступ </w:t>
            </w:r>
            <w:r>
              <w:rPr>
                <w:color w:val="000000"/>
                <w:sz w:val="22"/>
                <w:szCs w:val="22"/>
                <w:lang w:val="uk-UA"/>
              </w:rPr>
              <w:t>мешканців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громади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та суб’єктів господарської діяльності до нормативно-правових актів </w:t>
            </w:r>
            <w:r>
              <w:rPr>
                <w:color w:val="000000"/>
                <w:sz w:val="22"/>
                <w:szCs w:val="22"/>
                <w:lang w:val="uk-UA"/>
              </w:rPr>
              <w:t>селищної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ради та виконкому, підвищення рівня інформованості щодо роботи </w:t>
            </w:r>
            <w:r>
              <w:rPr>
                <w:color w:val="000000"/>
                <w:sz w:val="22"/>
                <w:szCs w:val="22"/>
                <w:lang w:val="uk-UA"/>
              </w:rPr>
              <w:t>селищної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ради  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2.1.</w:t>
            </w:r>
            <w:r>
              <w:rPr>
                <w:color w:val="000000"/>
                <w:sz w:val="22"/>
                <w:szCs w:val="22"/>
                <w:lang w:val="uk-UA"/>
              </w:rPr>
              <w:t>3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. Створення фонду нежитлових приміщень територіальної комунальної власності, виробничих площ, обладнання та іншого майна суб’єктів господарської діяльності, що пропонується для продажу або передачі  в оренду  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Відділ архітектури, містобудування та житлово-комунального господарства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Покращення умов роботи суб’єктів малого підприємництва в </w:t>
            </w:r>
            <w:proofErr w:type="spellStart"/>
            <w:r w:rsidRPr="0032164F">
              <w:rPr>
                <w:color w:val="000000"/>
                <w:sz w:val="22"/>
                <w:szCs w:val="22"/>
                <w:lang w:val="uk-UA"/>
              </w:rPr>
              <w:t>громадіі</w:t>
            </w:r>
            <w:proofErr w:type="spellEnd"/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, забезпечення доступності  приміщень комунальної власності, виробничих площ , обладнання та іншого майна для суб’єктів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lastRenderedPageBreak/>
              <w:t xml:space="preserve">підприємництва 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2.1.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Залучення суб’єктів малого та середнього підприємництва до участі  у виставках-ярмарках, навчаннях тощо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Відділ </w:t>
            </w:r>
            <w:r>
              <w:rPr>
                <w:color w:val="000000"/>
                <w:sz w:val="22"/>
                <w:szCs w:val="22"/>
                <w:lang w:val="uk-UA"/>
              </w:rPr>
              <w:t>перспективного розвитку і сільського господарства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Активізація підприємницької діяльності, сприяння розвитку конкурентного середовища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2.2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Залучення до зайняття бізнесом широких верств населення, підвищення професійного рівня суб’єктів господарської діяльності</w:t>
            </w:r>
          </w:p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2.2.1. Проведення семінарів-тренінгів, лекцій, практичних занять, навчальних курсів для суб’єктів підприємницької діяльності 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spacing w:line="240" w:lineRule="exac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ДПС</w:t>
            </w:r>
            <w:r w:rsidRPr="0032164F">
              <w:rPr>
                <w:sz w:val="22"/>
                <w:szCs w:val="22"/>
                <w:lang w:val="uk-UA"/>
              </w:rPr>
              <w:t>,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Любашівська філія Одеського обласного центру зайнятості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,, громадські організації  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Бюджети організацій </w:t>
            </w:r>
            <w:proofErr w:type="spellStart"/>
            <w:r w:rsidRPr="0032164F">
              <w:rPr>
                <w:color w:val="000000"/>
                <w:sz w:val="22"/>
                <w:szCs w:val="22"/>
                <w:lang w:val="uk-UA"/>
              </w:rPr>
              <w:t>–ініціаторів</w:t>
            </w:r>
            <w:proofErr w:type="spellEnd"/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2455" w:type="dxa"/>
            <w:gridSpan w:val="11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В межах кошторисів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Підвищення професійного рівня підприємців, культури та ефективності ведення бізнесу, покращення обізнаності в застосуванні податкового та митного законодавства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2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2.2.2. Проведення комплексу заходів по профорієнтації та переорієнтації незайнятого населення щодо започаткування власної справи у сфері малого і середнього бізнесу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Любашівська філія Одеського обласного центру зайнятості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,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онд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загальнообовязкового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державного соціального страхування на випадок безробіття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455" w:type="dxa"/>
            <w:gridSpan w:val="11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В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межах кошторису  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Залучення до підприємницької діяльності незайнятого населення, зниження рівня безробіття 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2.3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spacing w:line="240" w:lineRule="exac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Заохочення суб’єктів господарювання до створення нових робочих місць,  фінансова підтримка безробітних у разі започаткування власної справи </w:t>
            </w: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2.3.1. Сприяння розвитку                     </w:t>
            </w:r>
            <w:proofErr w:type="spellStart"/>
            <w:r w:rsidRPr="0032164F">
              <w:rPr>
                <w:color w:val="000000"/>
                <w:sz w:val="22"/>
                <w:szCs w:val="22"/>
                <w:lang w:val="uk-UA"/>
              </w:rPr>
              <w:t>самозайнятості</w:t>
            </w:r>
            <w:proofErr w:type="spellEnd"/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та підтримки підприємницької ініціативи безробітних з числа                         зареєстрованих осіб, які                 виявили бажання провадити підприємницьку діяльність, шляхом виплати їм допомоги по безробіттю одноразово для організації такої діяльності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Любашівська філія Одеського обласного центру зайнятості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,</w:t>
            </w:r>
          </w:p>
        </w:tc>
        <w:tc>
          <w:tcPr>
            <w:tcW w:w="1559" w:type="dxa"/>
            <w:gridSpan w:val="3"/>
          </w:tcPr>
          <w:p w:rsidR="00E85D7A" w:rsidRPr="00AB638D" w:rsidRDefault="00E85D7A" w:rsidP="008878D4">
            <w:pPr>
              <w:jc w:val="both"/>
              <w:rPr>
                <w:color w:val="FF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Ф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онд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загальнообовязкового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державного соціального страхування на випадок безробіття</w:t>
            </w:r>
          </w:p>
        </w:tc>
        <w:tc>
          <w:tcPr>
            <w:tcW w:w="2455" w:type="dxa"/>
            <w:gridSpan w:val="11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В межах кошторису  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spacing w:line="240" w:lineRule="exact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Покращення бізнес-середовища, створення нових робочих місць, зниження рівня безробіття та соціальної напруги </w:t>
            </w:r>
            <w:r>
              <w:rPr>
                <w:color w:val="000000"/>
                <w:sz w:val="22"/>
                <w:szCs w:val="22"/>
                <w:lang w:val="uk-UA"/>
              </w:rPr>
              <w:t>в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громаді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, підвищення економічної ефективності діяльності суб’єктів малого і середнього бізнесу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2.4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D7A" w:rsidRPr="00DB483F" w:rsidRDefault="00E85D7A" w:rsidP="008878D4">
            <w:pPr>
              <w:pStyle w:val="Normal"/>
              <w:widowControl w:val="0"/>
              <w:spacing w:before="60" w:after="60"/>
              <w:rPr>
                <w:szCs w:val="24"/>
                <w:lang w:val="uk-UA"/>
              </w:rPr>
            </w:pPr>
            <w:r w:rsidRPr="00DB483F">
              <w:rPr>
                <w:szCs w:val="24"/>
                <w:lang w:val="uk-UA"/>
              </w:rPr>
              <w:t>Стимулювання започаткування та розширення підприємницької діяльності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D7A" w:rsidRPr="00DB483F" w:rsidRDefault="00E85D7A" w:rsidP="008878D4">
            <w:pPr>
              <w:pStyle w:val="Normal"/>
              <w:widowControl w:val="0"/>
              <w:spacing w:before="60" w:after="6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2.4.</w:t>
            </w:r>
            <w:r w:rsidRPr="00DB483F">
              <w:rPr>
                <w:szCs w:val="24"/>
                <w:lang w:val="uk-UA"/>
              </w:rPr>
              <w:t>1.  Надання неповоротної фінансової допомоги суб’єктам малого</w:t>
            </w:r>
            <w:r>
              <w:rPr>
                <w:szCs w:val="24"/>
                <w:lang w:val="uk-UA"/>
              </w:rPr>
              <w:t xml:space="preserve"> та середнього підприємництва</w:t>
            </w: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spacing w:line="240" w:lineRule="exac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Відділ </w:t>
            </w:r>
            <w:r>
              <w:rPr>
                <w:color w:val="000000"/>
                <w:sz w:val="22"/>
                <w:szCs w:val="22"/>
                <w:lang w:val="uk-UA"/>
              </w:rPr>
              <w:t>перспективного розвитку і сільського господарства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Бюджет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селищної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територіальної громади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Покращення бізнес-середовища, створення нових робочих місць, зниження рівня безробіття та соціальної напруги в </w:t>
            </w:r>
            <w:r>
              <w:rPr>
                <w:color w:val="000000"/>
                <w:sz w:val="22"/>
                <w:szCs w:val="22"/>
                <w:lang w:val="uk-UA"/>
              </w:rPr>
              <w:t>громаді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, підвищення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lastRenderedPageBreak/>
              <w:t>економічної ефективності діяльності   суб’єктів малого і середнього бізнесу</w:t>
            </w:r>
          </w:p>
        </w:tc>
      </w:tr>
      <w:tr w:rsidR="00E85D7A" w:rsidRPr="0032164F" w:rsidTr="008878D4">
        <w:trPr>
          <w:trHeight w:val="422"/>
        </w:trPr>
        <w:tc>
          <w:tcPr>
            <w:tcW w:w="15849" w:type="dxa"/>
            <w:gridSpan w:val="24"/>
          </w:tcPr>
          <w:p w:rsidR="00E85D7A" w:rsidRPr="0032164F" w:rsidRDefault="00E85D7A" w:rsidP="008878D4">
            <w:pPr>
              <w:keepNext/>
              <w:spacing w:before="120"/>
              <w:jc w:val="center"/>
              <w:outlineLvl w:val="4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b/>
                <w:color w:val="000000"/>
                <w:sz w:val="22"/>
                <w:szCs w:val="22"/>
              </w:rPr>
              <w:lastRenderedPageBreak/>
              <w:t xml:space="preserve">3.  </w:t>
            </w:r>
            <w:proofErr w:type="spellStart"/>
            <w:r w:rsidRPr="0032164F">
              <w:rPr>
                <w:b/>
                <w:color w:val="000000"/>
                <w:sz w:val="22"/>
                <w:szCs w:val="22"/>
              </w:rPr>
              <w:t>Розвиток</w:t>
            </w:r>
            <w:proofErr w:type="spellEnd"/>
            <w:r w:rsidRPr="0032164F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2164F">
              <w:rPr>
                <w:b/>
                <w:color w:val="000000"/>
                <w:sz w:val="22"/>
                <w:szCs w:val="22"/>
              </w:rPr>
              <w:t>соц</w:t>
            </w:r>
            <w:proofErr w:type="gramEnd"/>
            <w:r w:rsidRPr="0032164F">
              <w:rPr>
                <w:b/>
                <w:color w:val="000000"/>
                <w:sz w:val="22"/>
                <w:szCs w:val="22"/>
              </w:rPr>
              <w:t>іального</w:t>
            </w:r>
            <w:proofErr w:type="spellEnd"/>
            <w:r w:rsidRPr="0032164F">
              <w:rPr>
                <w:b/>
                <w:color w:val="000000"/>
                <w:sz w:val="22"/>
                <w:szCs w:val="22"/>
              </w:rPr>
              <w:t xml:space="preserve"> партнерства </w:t>
            </w:r>
            <w:proofErr w:type="spellStart"/>
            <w:r w:rsidRPr="0032164F">
              <w:rPr>
                <w:b/>
                <w:color w:val="000000"/>
                <w:sz w:val="22"/>
                <w:szCs w:val="22"/>
              </w:rPr>
              <w:t>підприємництва</w:t>
            </w:r>
            <w:proofErr w:type="spellEnd"/>
            <w:r w:rsidRPr="0032164F">
              <w:rPr>
                <w:b/>
                <w:color w:val="000000"/>
                <w:sz w:val="22"/>
                <w:szCs w:val="22"/>
              </w:rPr>
              <w:t xml:space="preserve"> та </w:t>
            </w:r>
            <w:r w:rsidRPr="0032164F">
              <w:rPr>
                <w:b/>
                <w:color w:val="000000"/>
                <w:sz w:val="22"/>
                <w:szCs w:val="22"/>
                <w:lang w:val="uk-UA"/>
              </w:rPr>
              <w:t>ОМС</w:t>
            </w:r>
          </w:p>
        </w:tc>
      </w:tr>
      <w:tr w:rsidR="00E85D7A" w:rsidRPr="0032164F" w:rsidTr="008878D4">
        <w:tc>
          <w:tcPr>
            <w:tcW w:w="540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3.1</w:t>
            </w:r>
          </w:p>
        </w:tc>
        <w:tc>
          <w:tcPr>
            <w:tcW w:w="1982" w:type="dxa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Налагодження партнерської і конструктивної співпраці  </w:t>
            </w:r>
            <w:r>
              <w:rPr>
                <w:color w:val="000000"/>
                <w:sz w:val="22"/>
                <w:szCs w:val="22"/>
                <w:lang w:val="uk-UA"/>
              </w:rPr>
              <w:t>селищно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>ї ради  та громадських організацій підприємців</w:t>
            </w: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05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3.1.1. Проведення «круглих столів», бізнес-форумів та інших представницьких заходів, що сприяють підприємницькій діяльності </w:t>
            </w:r>
          </w:p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7" w:type="dxa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>2021 – 2023 роки</w:t>
            </w:r>
          </w:p>
        </w:tc>
        <w:tc>
          <w:tcPr>
            <w:tcW w:w="2105" w:type="dxa"/>
            <w:gridSpan w:val="3"/>
          </w:tcPr>
          <w:p w:rsidR="00E85D7A" w:rsidRPr="0032164F" w:rsidRDefault="00E85D7A" w:rsidP="008878D4">
            <w:pPr>
              <w:spacing w:line="240" w:lineRule="exac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Відділ </w:t>
            </w:r>
            <w:r>
              <w:rPr>
                <w:color w:val="000000"/>
                <w:sz w:val="22"/>
                <w:szCs w:val="22"/>
                <w:lang w:val="uk-UA"/>
              </w:rPr>
              <w:t>перспективного розвитку і сільського господарства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, </w:t>
            </w:r>
          </w:p>
          <w:p w:rsidR="00E85D7A" w:rsidRPr="0032164F" w:rsidRDefault="00E85D7A" w:rsidP="008878D4">
            <w:pPr>
              <w:spacing w:line="240" w:lineRule="exac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Любашівська філія Одеського обласного центру зайнятості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,, громадські організації підприємців </w:t>
            </w:r>
          </w:p>
        </w:tc>
        <w:tc>
          <w:tcPr>
            <w:tcW w:w="1559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Бюджет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селищної </w:t>
            </w: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територіальної громади, бюджети організацій </w:t>
            </w:r>
            <w:proofErr w:type="spellStart"/>
            <w:r w:rsidRPr="0032164F">
              <w:rPr>
                <w:color w:val="000000"/>
                <w:sz w:val="22"/>
                <w:szCs w:val="22"/>
                <w:lang w:val="uk-UA"/>
              </w:rPr>
              <w:t>–ініціаторів</w:t>
            </w:r>
            <w:proofErr w:type="spellEnd"/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080" w:type="dxa"/>
            <w:gridSpan w:val="5"/>
          </w:tcPr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gridSpan w:val="4"/>
          </w:tcPr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655" w:type="dxa"/>
            <w:gridSpan w:val="2"/>
          </w:tcPr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  <w:p w:rsidR="00E85D7A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E85D7A" w:rsidRPr="0032164F" w:rsidRDefault="00E85D7A" w:rsidP="008878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06" w:type="dxa"/>
            <w:gridSpan w:val="2"/>
          </w:tcPr>
          <w:p w:rsidR="00E85D7A" w:rsidRPr="0032164F" w:rsidRDefault="00E85D7A" w:rsidP="008878D4">
            <w:pPr>
              <w:rPr>
                <w:color w:val="000000"/>
                <w:sz w:val="22"/>
                <w:szCs w:val="22"/>
                <w:lang w:val="uk-UA"/>
              </w:rPr>
            </w:pPr>
            <w:r w:rsidRPr="0032164F">
              <w:rPr>
                <w:color w:val="000000"/>
                <w:sz w:val="22"/>
                <w:szCs w:val="22"/>
                <w:lang w:val="uk-UA"/>
              </w:rPr>
              <w:t xml:space="preserve">Обмін досвідом,                  вивчення думки експертів та підприємців, використання отриманої інформації  для покрашення бізнес-середовища  у громаді </w:t>
            </w:r>
          </w:p>
        </w:tc>
      </w:tr>
      <w:tr w:rsidR="00E85D7A" w:rsidRPr="0032164F" w:rsidTr="008878D4">
        <w:tc>
          <w:tcPr>
            <w:tcW w:w="5230" w:type="dxa"/>
            <w:gridSpan w:val="3"/>
            <w:vMerge w:val="restart"/>
            <w:vAlign w:val="center"/>
          </w:tcPr>
          <w:p w:rsidR="00E85D7A" w:rsidRPr="0032164F" w:rsidRDefault="00E85D7A" w:rsidP="008878D4">
            <w:pPr>
              <w:jc w:val="center"/>
              <w:rPr>
                <w:b/>
                <w:lang w:val="uk-UA"/>
              </w:rPr>
            </w:pPr>
            <w:r w:rsidRPr="0032164F">
              <w:rPr>
                <w:b/>
                <w:lang w:val="uk-UA"/>
              </w:rPr>
              <w:t>Загальна вартість програми (тис. грн.)</w:t>
            </w:r>
          </w:p>
        </w:tc>
        <w:tc>
          <w:tcPr>
            <w:tcW w:w="5658" w:type="dxa"/>
            <w:gridSpan w:val="8"/>
            <w:vMerge w:val="restart"/>
            <w:vAlign w:val="center"/>
          </w:tcPr>
          <w:p w:rsidR="00E85D7A" w:rsidRPr="0032164F" w:rsidRDefault="00E85D7A" w:rsidP="008878D4">
            <w:pPr>
              <w:jc w:val="center"/>
              <w:rPr>
                <w:b/>
                <w:lang w:val="uk-UA"/>
              </w:rPr>
            </w:pPr>
            <w:r w:rsidRPr="0032164F">
              <w:rPr>
                <w:b/>
                <w:lang w:val="uk-UA"/>
              </w:rPr>
              <w:t>За джерелами фінансування</w:t>
            </w:r>
          </w:p>
        </w:tc>
        <w:tc>
          <w:tcPr>
            <w:tcW w:w="2455" w:type="dxa"/>
            <w:gridSpan w:val="11"/>
            <w:vAlign w:val="center"/>
          </w:tcPr>
          <w:p w:rsidR="00E85D7A" w:rsidRPr="0032164F" w:rsidRDefault="00E85D7A" w:rsidP="008878D4">
            <w:pPr>
              <w:jc w:val="center"/>
              <w:rPr>
                <w:b/>
                <w:lang w:val="uk-UA"/>
              </w:rPr>
            </w:pPr>
            <w:r w:rsidRPr="0032164F">
              <w:rPr>
                <w:b/>
                <w:lang w:val="uk-UA"/>
              </w:rPr>
              <w:t>По роках</w:t>
            </w:r>
          </w:p>
        </w:tc>
        <w:tc>
          <w:tcPr>
            <w:tcW w:w="2506" w:type="dxa"/>
            <w:gridSpan w:val="2"/>
            <w:vMerge w:val="restart"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85D7A" w:rsidRPr="0032164F" w:rsidTr="008878D4">
        <w:tc>
          <w:tcPr>
            <w:tcW w:w="5230" w:type="dxa"/>
            <w:gridSpan w:val="3"/>
            <w:vMerge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658" w:type="dxa"/>
            <w:gridSpan w:val="8"/>
            <w:vMerge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lang w:val="uk-UA"/>
              </w:rPr>
            </w:pPr>
            <w:r w:rsidRPr="0032164F">
              <w:rPr>
                <w:b/>
                <w:lang w:val="uk-UA"/>
              </w:rPr>
              <w:t>2021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color w:val="000000"/>
                <w:lang w:val="uk-UA"/>
              </w:rPr>
            </w:pPr>
            <w:r w:rsidRPr="0032164F">
              <w:rPr>
                <w:b/>
                <w:lang w:val="uk-UA"/>
              </w:rPr>
              <w:t>2022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color w:val="000000"/>
                <w:lang w:val="uk-UA"/>
              </w:rPr>
            </w:pPr>
            <w:r w:rsidRPr="0032164F">
              <w:rPr>
                <w:b/>
                <w:lang w:val="uk-UA"/>
              </w:rPr>
              <w:t>2023</w:t>
            </w:r>
          </w:p>
        </w:tc>
        <w:tc>
          <w:tcPr>
            <w:tcW w:w="2506" w:type="dxa"/>
            <w:gridSpan w:val="2"/>
            <w:vMerge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85D7A" w:rsidRPr="0032164F" w:rsidTr="008878D4">
        <w:tc>
          <w:tcPr>
            <w:tcW w:w="5230" w:type="dxa"/>
            <w:gridSpan w:val="3"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658" w:type="dxa"/>
            <w:gridSpan w:val="8"/>
          </w:tcPr>
          <w:p w:rsidR="00E85D7A" w:rsidRPr="0032164F" w:rsidRDefault="00E85D7A" w:rsidP="008878D4">
            <w:pPr>
              <w:rPr>
                <w:lang w:val="uk-UA"/>
              </w:rPr>
            </w:pPr>
            <w:r w:rsidRPr="0032164F">
              <w:rPr>
                <w:lang w:val="uk-UA"/>
              </w:rPr>
              <w:t xml:space="preserve"> </w:t>
            </w:r>
            <w:r w:rsidRPr="0032164F">
              <w:rPr>
                <w:sz w:val="22"/>
                <w:szCs w:val="22"/>
                <w:lang w:val="uk-UA"/>
              </w:rPr>
              <w:t xml:space="preserve">Бюджет територіальної громади та інші джерела, </w:t>
            </w:r>
            <w:proofErr w:type="spellStart"/>
            <w:r w:rsidRPr="0032164F">
              <w:rPr>
                <w:sz w:val="22"/>
                <w:szCs w:val="22"/>
                <w:lang w:val="uk-UA"/>
              </w:rPr>
              <w:t>тис.грн</w:t>
            </w:r>
            <w:proofErr w:type="spellEnd"/>
            <w:r w:rsidRPr="0032164F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038" w:type="dxa"/>
            <w:gridSpan w:val="4"/>
          </w:tcPr>
          <w:p w:rsidR="00E85D7A" w:rsidRPr="0032164F" w:rsidRDefault="00E85D7A" w:rsidP="008878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705" w:type="dxa"/>
            <w:gridSpan w:val="4"/>
          </w:tcPr>
          <w:p w:rsidR="00E85D7A" w:rsidRPr="0032164F" w:rsidRDefault="00E85D7A" w:rsidP="008878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712" w:type="dxa"/>
            <w:gridSpan w:val="3"/>
          </w:tcPr>
          <w:p w:rsidR="00E85D7A" w:rsidRPr="0032164F" w:rsidRDefault="00E85D7A" w:rsidP="008878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506" w:type="dxa"/>
            <w:gridSpan w:val="2"/>
            <w:vMerge/>
          </w:tcPr>
          <w:p w:rsidR="00E85D7A" w:rsidRPr="0032164F" w:rsidRDefault="00E85D7A" w:rsidP="008878D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85D7A" w:rsidRDefault="00E85D7A" w:rsidP="00E85D7A">
      <w:pPr>
        <w:ind w:left="-567"/>
        <w:rPr>
          <w:b/>
          <w:sz w:val="23"/>
          <w:szCs w:val="23"/>
          <w:lang w:val="uk-UA"/>
        </w:rPr>
      </w:pPr>
    </w:p>
    <w:p w:rsidR="00E85D7A" w:rsidRDefault="00E85D7A" w:rsidP="00E85D7A">
      <w:pPr>
        <w:ind w:left="-567"/>
        <w:rPr>
          <w:b/>
          <w:sz w:val="23"/>
          <w:szCs w:val="23"/>
          <w:lang w:val="uk-UA"/>
        </w:rPr>
      </w:pPr>
    </w:p>
    <w:p w:rsidR="00E85D7A" w:rsidRDefault="00E85D7A" w:rsidP="00E85D7A">
      <w:pPr>
        <w:ind w:left="-567"/>
        <w:rPr>
          <w:b/>
          <w:sz w:val="23"/>
          <w:szCs w:val="23"/>
          <w:lang w:val="uk-UA"/>
        </w:rPr>
      </w:pPr>
      <w:r w:rsidRPr="005B613C">
        <w:rPr>
          <w:b/>
          <w:sz w:val="23"/>
          <w:szCs w:val="23"/>
        </w:rPr>
        <w:t xml:space="preserve">Начальник </w:t>
      </w:r>
      <w:proofErr w:type="spellStart"/>
      <w:r w:rsidRPr="005B613C">
        <w:rPr>
          <w:b/>
          <w:sz w:val="23"/>
          <w:szCs w:val="23"/>
        </w:rPr>
        <w:t>відділу</w:t>
      </w:r>
      <w:proofErr w:type="spellEnd"/>
      <w:r w:rsidRPr="005B613C">
        <w:rPr>
          <w:b/>
          <w:sz w:val="23"/>
          <w:szCs w:val="23"/>
        </w:rPr>
        <w:t xml:space="preserve"> </w:t>
      </w:r>
      <w:proofErr w:type="gramStart"/>
      <w:r>
        <w:rPr>
          <w:b/>
          <w:sz w:val="23"/>
          <w:szCs w:val="23"/>
          <w:lang w:val="uk-UA"/>
        </w:rPr>
        <w:t>перспективного</w:t>
      </w:r>
      <w:proofErr w:type="gramEnd"/>
      <w:r>
        <w:rPr>
          <w:b/>
          <w:sz w:val="23"/>
          <w:szCs w:val="23"/>
          <w:lang w:val="uk-UA"/>
        </w:rPr>
        <w:t xml:space="preserve"> розвитку</w:t>
      </w:r>
    </w:p>
    <w:p w:rsidR="00E85D7A" w:rsidRPr="00987236" w:rsidRDefault="00E85D7A" w:rsidP="00E85D7A">
      <w:pPr>
        <w:ind w:left="-567"/>
        <w:rPr>
          <w:b/>
          <w:sz w:val="23"/>
          <w:szCs w:val="23"/>
          <w:lang w:val="uk-UA"/>
        </w:rPr>
      </w:pPr>
      <w:r>
        <w:rPr>
          <w:b/>
          <w:sz w:val="23"/>
          <w:szCs w:val="23"/>
          <w:lang w:val="uk-UA"/>
        </w:rPr>
        <w:t>і сільського господарства</w:t>
      </w:r>
      <w:r>
        <w:rPr>
          <w:b/>
          <w:sz w:val="23"/>
          <w:szCs w:val="23"/>
        </w:rPr>
        <w:t xml:space="preserve"> 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>О</w:t>
      </w:r>
      <w:proofErr w:type="spellStart"/>
      <w:r>
        <w:rPr>
          <w:b/>
          <w:sz w:val="23"/>
          <w:szCs w:val="23"/>
          <w:lang w:val="uk-UA"/>
        </w:rPr>
        <w:t>лена</w:t>
      </w:r>
      <w:proofErr w:type="spellEnd"/>
      <w:r>
        <w:rPr>
          <w:b/>
          <w:sz w:val="23"/>
          <w:szCs w:val="23"/>
          <w:lang w:val="uk-UA"/>
        </w:rPr>
        <w:t xml:space="preserve"> </w:t>
      </w:r>
      <w:r w:rsidRPr="005B613C">
        <w:rPr>
          <w:b/>
          <w:sz w:val="23"/>
          <w:szCs w:val="23"/>
        </w:rPr>
        <w:t>Яковенко</w:t>
      </w:r>
    </w:p>
    <w:p w:rsidR="00E85D7A" w:rsidRDefault="00E85D7A" w:rsidP="00E85D7A">
      <w:pPr>
        <w:rPr>
          <w:lang w:val="uk-UA"/>
        </w:rPr>
      </w:pPr>
    </w:p>
    <w:p w:rsidR="00E85D7A" w:rsidRDefault="00E85D7A" w:rsidP="00E85D7A">
      <w:pPr>
        <w:rPr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rFonts w:ascii="Times New Roman" w:hAnsi="Times New Roman"/>
          <w:b w:val="0"/>
          <w:sz w:val="28"/>
          <w:szCs w:val="28"/>
          <w:lang w:val="uk-UA"/>
        </w:rPr>
      </w:pPr>
    </w:p>
    <w:p w:rsidR="00E85D7A" w:rsidRDefault="00E85D7A" w:rsidP="00E85D7A">
      <w:pPr>
        <w:pStyle w:val="a3"/>
        <w:jc w:val="right"/>
        <w:rPr>
          <w:rFonts w:ascii="Times New Roman" w:hAnsi="Times New Roman"/>
          <w:b w:val="0"/>
          <w:sz w:val="28"/>
          <w:szCs w:val="28"/>
          <w:lang w:val="uk-UA"/>
        </w:rPr>
      </w:pPr>
    </w:p>
    <w:p w:rsidR="00E85D7A" w:rsidRPr="00E85D7A" w:rsidRDefault="00E85D7A" w:rsidP="00E85D7A">
      <w:pPr>
        <w:pStyle w:val="a3"/>
        <w:jc w:val="right"/>
        <w:rPr>
          <w:rFonts w:ascii="Times New Roman" w:hAnsi="Times New Roman"/>
          <w:b w:val="0"/>
          <w:sz w:val="28"/>
          <w:szCs w:val="28"/>
          <w:lang w:val="uk-UA"/>
        </w:rPr>
      </w:pPr>
      <w:r w:rsidRPr="00E85D7A">
        <w:rPr>
          <w:rFonts w:ascii="Times New Roman" w:hAnsi="Times New Roman"/>
          <w:b w:val="0"/>
          <w:sz w:val="28"/>
          <w:szCs w:val="28"/>
          <w:lang w:val="uk-UA"/>
        </w:rPr>
        <w:t>Додаток 2</w:t>
      </w:r>
    </w:p>
    <w:p w:rsidR="00E85D7A" w:rsidRDefault="00E85D7A" w:rsidP="00E85D7A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E85D7A">
        <w:rPr>
          <w:rFonts w:ascii="Times New Roman" w:hAnsi="Times New Roman"/>
          <w:sz w:val="28"/>
          <w:szCs w:val="28"/>
          <w:lang w:val="uk-UA"/>
        </w:rPr>
        <w:t xml:space="preserve">Ресурсне забезпечення </w:t>
      </w:r>
    </w:p>
    <w:p w:rsidR="00E85D7A" w:rsidRPr="00E85D7A" w:rsidRDefault="00E85D7A" w:rsidP="00E85D7A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E85D7A">
        <w:rPr>
          <w:rFonts w:ascii="Times New Roman" w:hAnsi="Times New Roman"/>
          <w:sz w:val="28"/>
          <w:szCs w:val="28"/>
          <w:lang w:val="uk-UA"/>
        </w:rPr>
        <w:t>Програми підтримки малого та середнього  підприємництва в Любашівській громаді  на 2021 – 2023 роки</w:t>
      </w:r>
    </w:p>
    <w:p w:rsidR="00E85D7A" w:rsidRPr="00382C3E" w:rsidRDefault="00E85D7A" w:rsidP="00E85D7A">
      <w:pPr>
        <w:jc w:val="right"/>
      </w:pPr>
      <w:proofErr w:type="spellStart"/>
      <w:r w:rsidRPr="00382C3E">
        <w:t>тис</w:t>
      </w:r>
      <w:proofErr w:type="gramStart"/>
      <w:r w:rsidRPr="00382C3E">
        <w:t>.г</w:t>
      </w:r>
      <w:proofErr w:type="gramEnd"/>
      <w:r w:rsidRPr="00382C3E">
        <w:t>рн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1"/>
        <w:gridCol w:w="2126"/>
        <w:gridCol w:w="2348"/>
        <w:gridCol w:w="2188"/>
        <w:gridCol w:w="2413"/>
      </w:tblGrid>
      <w:tr w:rsidR="00E85D7A" w:rsidRPr="00382C3E" w:rsidTr="008878D4">
        <w:tc>
          <w:tcPr>
            <w:tcW w:w="1931" w:type="pct"/>
            <w:vMerge w:val="restart"/>
          </w:tcPr>
          <w:p w:rsidR="00E85D7A" w:rsidRPr="00382C3E" w:rsidRDefault="00E85D7A" w:rsidP="008878D4">
            <w:pPr>
              <w:jc w:val="center"/>
              <w:rPr>
                <w:b/>
              </w:rPr>
            </w:pPr>
            <w:proofErr w:type="spellStart"/>
            <w:r w:rsidRPr="00382C3E">
              <w:rPr>
                <w:b/>
                <w:i/>
              </w:rPr>
              <w:t>Обсяг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кошті</w:t>
            </w:r>
            <w:proofErr w:type="gramStart"/>
            <w:r w:rsidRPr="00382C3E">
              <w:rPr>
                <w:b/>
                <w:i/>
              </w:rPr>
              <w:t>в</w:t>
            </w:r>
            <w:proofErr w:type="spellEnd"/>
            <w:proofErr w:type="gramEnd"/>
            <w:r w:rsidRPr="00382C3E">
              <w:rPr>
                <w:b/>
                <w:i/>
              </w:rPr>
              <w:t xml:space="preserve">, </w:t>
            </w:r>
            <w:proofErr w:type="spellStart"/>
            <w:r w:rsidRPr="00382C3E">
              <w:rPr>
                <w:b/>
                <w:i/>
              </w:rPr>
              <w:t>які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пропонується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залучити</w:t>
            </w:r>
            <w:proofErr w:type="spellEnd"/>
            <w:r w:rsidRPr="00382C3E">
              <w:rPr>
                <w:b/>
                <w:i/>
              </w:rPr>
              <w:t xml:space="preserve"> на </w:t>
            </w:r>
            <w:proofErr w:type="spellStart"/>
            <w:r w:rsidRPr="00382C3E">
              <w:rPr>
                <w:b/>
                <w:i/>
              </w:rPr>
              <w:t>виконання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Програми</w:t>
            </w:r>
            <w:proofErr w:type="spellEnd"/>
          </w:p>
        </w:tc>
        <w:tc>
          <w:tcPr>
            <w:tcW w:w="2252" w:type="pct"/>
            <w:gridSpan w:val="3"/>
          </w:tcPr>
          <w:p w:rsidR="00E85D7A" w:rsidRPr="00382C3E" w:rsidRDefault="00E85D7A" w:rsidP="008878D4">
            <w:pPr>
              <w:jc w:val="center"/>
              <w:rPr>
                <w:b/>
                <w:i/>
              </w:rPr>
            </w:pPr>
            <w:proofErr w:type="spellStart"/>
            <w:r w:rsidRPr="00382C3E">
              <w:rPr>
                <w:b/>
                <w:i/>
              </w:rPr>
              <w:t>Етапи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виконання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r>
              <w:rPr>
                <w:b/>
                <w:i/>
                <w:lang w:val="uk-UA"/>
              </w:rPr>
              <w:t>П</w:t>
            </w:r>
            <w:proofErr w:type="spellStart"/>
            <w:r w:rsidRPr="00382C3E">
              <w:rPr>
                <w:b/>
                <w:i/>
              </w:rPr>
              <w:t>рограми</w:t>
            </w:r>
            <w:proofErr w:type="spellEnd"/>
          </w:p>
        </w:tc>
        <w:tc>
          <w:tcPr>
            <w:tcW w:w="816" w:type="pct"/>
            <w:vMerge w:val="restart"/>
          </w:tcPr>
          <w:p w:rsidR="00E85D7A" w:rsidRPr="00382C3E" w:rsidRDefault="00E85D7A" w:rsidP="008878D4">
            <w:pPr>
              <w:jc w:val="center"/>
              <w:rPr>
                <w:b/>
                <w:i/>
              </w:rPr>
            </w:pPr>
            <w:proofErr w:type="spellStart"/>
            <w:r w:rsidRPr="00382C3E">
              <w:rPr>
                <w:b/>
                <w:i/>
              </w:rPr>
              <w:t>Усього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proofErr w:type="spellStart"/>
            <w:r w:rsidRPr="00382C3E">
              <w:rPr>
                <w:b/>
                <w:i/>
              </w:rPr>
              <w:t>витрат</w:t>
            </w:r>
            <w:proofErr w:type="spellEnd"/>
            <w:r w:rsidRPr="00382C3E">
              <w:rPr>
                <w:b/>
                <w:i/>
              </w:rPr>
              <w:t xml:space="preserve"> на </w:t>
            </w:r>
            <w:proofErr w:type="spellStart"/>
            <w:r w:rsidRPr="00382C3E">
              <w:rPr>
                <w:b/>
                <w:i/>
              </w:rPr>
              <w:t>виконання</w:t>
            </w:r>
            <w:proofErr w:type="spellEnd"/>
            <w:r w:rsidRPr="00382C3E">
              <w:rPr>
                <w:b/>
                <w:i/>
              </w:rPr>
              <w:t xml:space="preserve"> </w:t>
            </w:r>
            <w:r>
              <w:rPr>
                <w:b/>
                <w:i/>
                <w:lang w:val="uk-UA"/>
              </w:rPr>
              <w:t>П</w:t>
            </w:r>
            <w:proofErr w:type="spellStart"/>
            <w:r w:rsidRPr="00382C3E">
              <w:rPr>
                <w:b/>
                <w:i/>
              </w:rPr>
              <w:t>рограми</w:t>
            </w:r>
            <w:proofErr w:type="spellEnd"/>
            <w:r w:rsidRPr="00382C3E">
              <w:rPr>
                <w:i/>
              </w:rPr>
              <w:t xml:space="preserve"> </w:t>
            </w:r>
          </w:p>
        </w:tc>
      </w:tr>
      <w:tr w:rsidR="00E85D7A" w:rsidRPr="00382C3E" w:rsidTr="00E85D7A">
        <w:trPr>
          <w:trHeight w:val="446"/>
        </w:trPr>
        <w:tc>
          <w:tcPr>
            <w:tcW w:w="1931" w:type="pct"/>
            <w:vMerge/>
          </w:tcPr>
          <w:p w:rsidR="00E85D7A" w:rsidRPr="00382C3E" w:rsidRDefault="00E85D7A" w:rsidP="008878D4"/>
        </w:tc>
        <w:tc>
          <w:tcPr>
            <w:tcW w:w="719" w:type="pct"/>
            <w:vAlign w:val="center"/>
          </w:tcPr>
          <w:p w:rsidR="00E85D7A" w:rsidRPr="00382C3E" w:rsidRDefault="00E85D7A" w:rsidP="008878D4">
            <w:pPr>
              <w:jc w:val="center"/>
              <w:rPr>
                <w:i/>
              </w:rPr>
            </w:pPr>
            <w:r>
              <w:rPr>
                <w:b/>
                <w:i/>
              </w:rPr>
              <w:t>2021</w:t>
            </w:r>
            <w:r w:rsidRPr="00382C3E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382C3E">
              <w:rPr>
                <w:b/>
                <w:i/>
              </w:rPr>
              <w:t>р</w:t>
            </w:r>
            <w:proofErr w:type="gramEnd"/>
            <w:r w:rsidRPr="00382C3E">
              <w:rPr>
                <w:b/>
                <w:i/>
              </w:rPr>
              <w:t>ік</w:t>
            </w:r>
            <w:proofErr w:type="spellEnd"/>
          </w:p>
        </w:tc>
        <w:tc>
          <w:tcPr>
            <w:tcW w:w="794" w:type="pct"/>
            <w:vAlign w:val="center"/>
          </w:tcPr>
          <w:p w:rsidR="00E85D7A" w:rsidRPr="00382C3E" w:rsidRDefault="00E85D7A" w:rsidP="008878D4">
            <w:pPr>
              <w:jc w:val="center"/>
              <w:rPr>
                <w:i/>
              </w:rPr>
            </w:pPr>
            <w:r w:rsidRPr="00382C3E">
              <w:rPr>
                <w:b/>
                <w:i/>
              </w:rPr>
              <w:t>20</w:t>
            </w:r>
            <w:r>
              <w:rPr>
                <w:b/>
                <w:i/>
                <w:lang w:val="uk-UA"/>
              </w:rPr>
              <w:t>22</w:t>
            </w:r>
            <w:r w:rsidRPr="00382C3E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382C3E">
              <w:rPr>
                <w:b/>
                <w:i/>
              </w:rPr>
              <w:t>р</w:t>
            </w:r>
            <w:proofErr w:type="gramEnd"/>
            <w:r w:rsidRPr="00382C3E">
              <w:rPr>
                <w:b/>
                <w:i/>
              </w:rPr>
              <w:t>ік</w:t>
            </w:r>
            <w:proofErr w:type="spellEnd"/>
          </w:p>
        </w:tc>
        <w:tc>
          <w:tcPr>
            <w:tcW w:w="740" w:type="pct"/>
            <w:vAlign w:val="center"/>
          </w:tcPr>
          <w:p w:rsidR="00E85D7A" w:rsidRPr="00BA787B" w:rsidRDefault="00E85D7A" w:rsidP="00E85D7A">
            <w:pPr>
              <w:jc w:val="center"/>
              <w:rPr>
                <w:lang w:val="uk-UA"/>
              </w:rPr>
            </w:pPr>
            <w:r w:rsidRPr="00BA787B">
              <w:rPr>
                <w:b/>
                <w:i/>
              </w:rPr>
              <w:t xml:space="preserve">2023 </w:t>
            </w:r>
            <w:proofErr w:type="spellStart"/>
            <w:proofErr w:type="gramStart"/>
            <w:r w:rsidRPr="00BA787B">
              <w:rPr>
                <w:b/>
                <w:i/>
              </w:rPr>
              <w:t>р</w:t>
            </w:r>
            <w:proofErr w:type="gramEnd"/>
            <w:r w:rsidRPr="00BA787B">
              <w:rPr>
                <w:b/>
                <w:i/>
              </w:rPr>
              <w:t>ік</w:t>
            </w:r>
            <w:proofErr w:type="spellEnd"/>
          </w:p>
        </w:tc>
        <w:tc>
          <w:tcPr>
            <w:tcW w:w="816" w:type="pct"/>
            <w:vMerge/>
          </w:tcPr>
          <w:p w:rsidR="00E85D7A" w:rsidRPr="00382C3E" w:rsidRDefault="00E85D7A" w:rsidP="008878D4"/>
        </w:tc>
      </w:tr>
      <w:tr w:rsidR="00E85D7A" w:rsidRPr="00382C3E" w:rsidTr="008878D4">
        <w:trPr>
          <w:trHeight w:val="403"/>
        </w:trPr>
        <w:tc>
          <w:tcPr>
            <w:tcW w:w="1931" w:type="pct"/>
          </w:tcPr>
          <w:p w:rsidR="00E85D7A" w:rsidRPr="00382C3E" w:rsidRDefault="00E85D7A" w:rsidP="008878D4">
            <w:pPr>
              <w:rPr>
                <w:b/>
              </w:rPr>
            </w:pPr>
            <w:proofErr w:type="spellStart"/>
            <w:r w:rsidRPr="00382C3E">
              <w:rPr>
                <w:b/>
              </w:rPr>
              <w:t>Обсяг</w:t>
            </w:r>
            <w:proofErr w:type="spellEnd"/>
            <w:r w:rsidRPr="00382C3E">
              <w:rPr>
                <w:b/>
              </w:rPr>
              <w:t xml:space="preserve"> </w:t>
            </w:r>
            <w:proofErr w:type="spellStart"/>
            <w:r w:rsidRPr="00382C3E">
              <w:rPr>
                <w:b/>
              </w:rPr>
              <w:t>ресурсів</w:t>
            </w:r>
            <w:proofErr w:type="spellEnd"/>
            <w:r w:rsidRPr="00382C3E">
              <w:rPr>
                <w:b/>
              </w:rPr>
              <w:t xml:space="preserve">, </w:t>
            </w:r>
            <w:proofErr w:type="spellStart"/>
            <w:r w:rsidRPr="00382C3E">
              <w:rPr>
                <w:b/>
              </w:rPr>
              <w:t>усього</w:t>
            </w:r>
            <w:proofErr w:type="spellEnd"/>
          </w:p>
        </w:tc>
        <w:tc>
          <w:tcPr>
            <w:tcW w:w="719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100,0</w:t>
            </w:r>
          </w:p>
        </w:tc>
        <w:tc>
          <w:tcPr>
            <w:tcW w:w="794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50,0</w:t>
            </w:r>
          </w:p>
        </w:tc>
        <w:tc>
          <w:tcPr>
            <w:tcW w:w="740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50,0</w:t>
            </w:r>
          </w:p>
        </w:tc>
        <w:tc>
          <w:tcPr>
            <w:tcW w:w="816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Pr="00BA787B">
              <w:rPr>
                <w:b/>
                <w:lang w:val="uk-UA"/>
              </w:rPr>
              <w:t>0,0</w:t>
            </w:r>
          </w:p>
        </w:tc>
      </w:tr>
      <w:tr w:rsidR="00E85D7A" w:rsidRPr="00382C3E" w:rsidTr="008878D4">
        <w:trPr>
          <w:trHeight w:val="348"/>
        </w:trPr>
        <w:tc>
          <w:tcPr>
            <w:tcW w:w="1931" w:type="pct"/>
          </w:tcPr>
          <w:p w:rsidR="00E85D7A" w:rsidRPr="00382C3E" w:rsidRDefault="00E85D7A" w:rsidP="008878D4">
            <w:proofErr w:type="spellStart"/>
            <w:r w:rsidRPr="00382C3E">
              <w:t>місцевий</w:t>
            </w:r>
            <w:proofErr w:type="spellEnd"/>
            <w:r w:rsidRPr="00382C3E">
              <w:t xml:space="preserve"> бюджет, </w:t>
            </w:r>
            <w:proofErr w:type="gramStart"/>
            <w:r w:rsidRPr="00382C3E">
              <w:t>у</w:t>
            </w:r>
            <w:proofErr w:type="gramEnd"/>
            <w:r w:rsidRPr="00382C3E">
              <w:t xml:space="preserve"> тому </w:t>
            </w:r>
            <w:proofErr w:type="spellStart"/>
            <w:r w:rsidRPr="00382C3E">
              <w:t>числі</w:t>
            </w:r>
            <w:proofErr w:type="spellEnd"/>
            <w:r w:rsidRPr="00382C3E">
              <w:t>:</w:t>
            </w:r>
          </w:p>
        </w:tc>
        <w:tc>
          <w:tcPr>
            <w:tcW w:w="719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100,0</w:t>
            </w:r>
          </w:p>
        </w:tc>
        <w:tc>
          <w:tcPr>
            <w:tcW w:w="794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50,0</w:t>
            </w:r>
          </w:p>
        </w:tc>
        <w:tc>
          <w:tcPr>
            <w:tcW w:w="740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50,0</w:t>
            </w:r>
          </w:p>
        </w:tc>
        <w:tc>
          <w:tcPr>
            <w:tcW w:w="816" w:type="pct"/>
            <w:vAlign w:val="center"/>
          </w:tcPr>
          <w:p w:rsidR="00E85D7A" w:rsidRPr="00BA787B" w:rsidRDefault="00E85D7A" w:rsidP="008878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Pr="00BA787B">
              <w:rPr>
                <w:b/>
                <w:lang w:val="uk-UA"/>
              </w:rPr>
              <w:t>0,0</w:t>
            </w:r>
          </w:p>
        </w:tc>
      </w:tr>
    </w:tbl>
    <w:p w:rsidR="00E85D7A" w:rsidRPr="00382C3E" w:rsidRDefault="00E85D7A" w:rsidP="00E85D7A">
      <w:pPr>
        <w:pStyle w:val="a7"/>
        <w:spacing w:after="0"/>
        <w:ind w:left="0" w:firstLine="782"/>
        <w:jc w:val="both"/>
        <w:rPr>
          <w:sz w:val="28"/>
          <w:szCs w:val="28"/>
        </w:rPr>
      </w:pPr>
      <w:bookmarkStart w:id="0" w:name="_GoBack"/>
      <w:bookmarkEnd w:id="0"/>
    </w:p>
    <w:p w:rsidR="00E85D7A" w:rsidRPr="00382C3E" w:rsidRDefault="00E85D7A" w:rsidP="00E85D7A">
      <w:pPr>
        <w:pStyle w:val="Normal"/>
        <w:spacing w:before="0" w:after="0"/>
        <w:ind w:firstLine="560"/>
        <w:jc w:val="both"/>
        <w:rPr>
          <w:sz w:val="28"/>
          <w:szCs w:val="28"/>
          <w:lang w:val="uk-UA"/>
        </w:rPr>
      </w:pPr>
    </w:p>
    <w:p w:rsidR="00E85D7A" w:rsidRPr="00A72402" w:rsidRDefault="00E85D7A" w:rsidP="00E85D7A">
      <w:pPr>
        <w:rPr>
          <w:lang w:val="uk-UA"/>
        </w:rPr>
      </w:pPr>
    </w:p>
    <w:p w:rsidR="008259E9" w:rsidRDefault="008259E9"/>
    <w:sectPr w:rsidR="008259E9" w:rsidSect="009D3ACB">
      <w:pgSz w:w="16838" w:h="11906" w:orient="landscape"/>
      <w:pgMar w:top="425" w:right="1134" w:bottom="425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A2B"/>
    <w:rsid w:val="00054221"/>
    <w:rsid w:val="00204A2B"/>
    <w:rsid w:val="008259E9"/>
    <w:rsid w:val="00E8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7A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customStyle="1" w:styleId="Normal">
    <w:name w:val="Normal"/>
    <w:rsid w:val="00E85D7A"/>
    <w:pPr>
      <w:spacing w:before="100" w:after="100"/>
    </w:pPr>
    <w:rPr>
      <w:rFonts w:ascii="Times New Roman" w:eastAsia="Times New Roman" w:hAnsi="Times New Roman"/>
      <w:snapToGrid w:val="0"/>
      <w:sz w:val="24"/>
      <w:lang w:eastAsia="ru-RU"/>
    </w:rPr>
  </w:style>
  <w:style w:type="paragraph" w:styleId="a7">
    <w:name w:val="Body Text Indent"/>
    <w:basedOn w:val="a"/>
    <w:link w:val="a8"/>
    <w:rsid w:val="00E85D7A"/>
    <w:pPr>
      <w:spacing w:after="120"/>
      <w:ind w:left="283"/>
    </w:pPr>
    <w:rPr>
      <w:sz w:val="26"/>
      <w:szCs w:val="26"/>
      <w:lang w:val="uk-UA"/>
    </w:rPr>
  </w:style>
  <w:style w:type="character" w:customStyle="1" w:styleId="a8">
    <w:name w:val="Основной текст с отступом Знак"/>
    <w:basedOn w:val="a0"/>
    <w:link w:val="a7"/>
    <w:rsid w:val="00E85D7A"/>
    <w:rPr>
      <w:rFonts w:ascii="Times New Roman" w:eastAsia="Times New Roman" w:hAnsi="Times New Roman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7A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customStyle="1" w:styleId="Normal">
    <w:name w:val="Normal"/>
    <w:rsid w:val="00E85D7A"/>
    <w:pPr>
      <w:spacing w:before="100" w:after="100"/>
    </w:pPr>
    <w:rPr>
      <w:rFonts w:ascii="Times New Roman" w:eastAsia="Times New Roman" w:hAnsi="Times New Roman"/>
      <w:snapToGrid w:val="0"/>
      <w:sz w:val="24"/>
      <w:lang w:eastAsia="ru-RU"/>
    </w:rPr>
  </w:style>
  <w:style w:type="paragraph" w:styleId="a7">
    <w:name w:val="Body Text Indent"/>
    <w:basedOn w:val="a"/>
    <w:link w:val="a8"/>
    <w:rsid w:val="00E85D7A"/>
    <w:pPr>
      <w:spacing w:after="120"/>
      <w:ind w:left="283"/>
    </w:pPr>
    <w:rPr>
      <w:sz w:val="26"/>
      <w:szCs w:val="26"/>
      <w:lang w:val="uk-UA"/>
    </w:rPr>
  </w:style>
  <w:style w:type="character" w:customStyle="1" w:styleId="a8">
    <w:name w:val="Основной текст с отступом Знак"/>
    <w:basedOn w:val="a0"/>
    <w:link w:val="a7"/>
    <w:rsid w:val="00E85D7A"/>
    <w:rPr>
      <w:rFonts w:ascii="Times New Roman" w:eastAsia="Times New Roman" w:hAnsi="Times New Roman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2021-04-20T12:21:00Z</cp:lastPrinted>
  <dcterms:created xsi:type="dcterms:W3CDTF">2021-04-20T12:12:00Z</dcterms:created>
  <dcterms:modified xsi:type="dcterms:W3CDTF">2021-04-20T12:22:00Z</dcterms:modified>
</cp:coreProperties>
</file>