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66" w:rsidRPr="009549E5" w:rsidRDefault="00722566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22566" w:rsidRPr="009549E5" w:rsidRDefault="00722566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3AC978DB" wp14:editId="5E2E4EA3">
            <wp:simplePos x="0" y="0"/>
            <wp:positionH relativeFrom="column">
              <wp:posOffset>2695575</wp:posOffset>
            </wp:positionH>
            <wp:positionV relativeFrom="paragraph">
              <wp:posOffset>-460375</wp:posOffset>
            </wp:positionV>
            <wp:extent cx="457200" cy="685800"/>
            <wp:effectExtent l="0" t="0" r="0" b="0"/>
            <wp:wrapNone/>
            <wp:docPr id="5" name="Рисунок 5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566" w:rsidRPr="009549E5" w:rsidRDefault="00722566" w:rsidP="00722566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2566" w:rsidRPr="009549E5" w:rsidRDefault="00722566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22566" w:rsidRPr="009549E5" w:rsidRDefault="00722566" w:rsidP="00722566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ПРИБУЖАНІВСЬКА СІЛЬСЬКА РАДА</w:t>
      </w:r>
    </w:p>
    <w:p w:rsidR="00722566" w:rsidRPr="009549E5" w:rsidRDefault="00722566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22566" w:rsidRPr="009549E5" w:rsidRDefault="00722566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19DD" w:rsidRPr="009549E5" w:rsidRDefault="00722566" w:rsidP="007A13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 І Ш Е Н Н Я</w:t>
      </w:r>
    </w:p>
    <w:p w:rsidR="00722566" w:rsidRPr="009549E5" w:rsidRDefault="00722566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2566" w:rsidRPr="009549E5" w:rsidRDefault="00722566" w:rsidP="007225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566" w:rsidRPr="009549E5" w:rsidRDefault="009549E5" w:rsidP="00722566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22566"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11.04.2017 </w:t>
      </w:r>
      <w:r w:rsidR="00722566"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22566"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7A13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</w:t>
      </w:r>
      <w:r w:rsidR="007A13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І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rtl/>
          <w:lang w:val="en-US" w:eastAsia="ru-RU"/>
        </w:rPr>
        <w:t>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позачергова</w:t>
      </w:r>
      <w:r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22566"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722566" w:rsidRPr="009549E5" w:rsidRDefault="00722566" w:rsidP="0072256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внесення змін в Додаток 1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Тімірязєвськ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 сільської ради від 14.07. 2015 р.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1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місцеві податки і збори»</w:t>
      </w:r>
    </w:p>
    <w:p w:rsidR="00722566" w:rsidRPr="009549E5" w:rsidRDefault="00722566" w:rsidP="009549E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Згідно Закону України від 21.12.2016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р. №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1791-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ІІІ «Про внесення змін до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br/>
        <w:t>Податкового кодексу України та деяких законодавчих актів України щодо забезпечення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br/>
        <w:t>збалансованості бюджетних надходжень у 2017 році», Закону України від 21.12.2016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р.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br/>
        <w:t>№1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797-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ІІІ «Про внесення змін до Податкового кодексу України щодо покращення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br/>
        <w:t>інвестиційного клімату в Україні», Закон України «Про державний бюджет України на 2017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рік», п.п.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265.1.1 п.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265.1 ст. 265, ст.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266 розділом ХІІ Податкового кодексу України. та на підставі ст. 26, 59 Закону України «Про місцеве самоврядування», сільська рада</w:t>
      </w:r>
    </w:p>
    <w:p w:rsidR="00722566" w:rsidRPr="009549E5" w:rsidRDefault="00722566" w:rsidP="009549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ВИРІШИЛА: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9549E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Продовжити дію на території Тімірязєвської сільської ради податку на нерухоме майно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br/>
        <w:t>відмінне від земельної ділянки для об’єкті житлової та нежитлової нерухомості з 01.01.2017 року.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9549E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2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Установити, що з 1 січня 2017 року до встановлених ставок  податку на нерухоме майно, відмінне від земельної ділянки  застосовуються коефіцієнт 0,5.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9549E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3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Внести зміни в п. 1 Додатку 1 рішення Тімірязєвської  сільської ради  від 14 липня 2015  року № 1 «Про місцеві податки і збори» виклавши його в новій редакції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lang w:val="uk-UA"/>
        </w:rPr>
        <w:t>п 2. Пільги зі стплати податку: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lang w:val="uk-UA"/>
        </w:rPr>
      </w:pPr>
      <w:r w:rsidRPr="009549E5">
        <w:rPr>
          <w:lang w:val="uk-UA"/>
        </w:rPr>
        <w:t>2. База оподаткування об’єкта/об’єктів житлової нерухомості, в тому числі їх часток, що перебувають у власності фізичної особи - платника податку, зменшується: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>а) для квартири/квартир незалежно від їх кількості - на 60 кв. метрі</w:t>
      </w:r>
      <w:proofErr w:type="gramStart"/>
      <w:r w:rsidRPr="009549E5">
        <w:t>в</w:t>
      </w:r>
      <w:proofErr w:type="gramEnd"/>
      <w:r w:rsidRPr="009549E5">
        <w:t>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>б) для житлового будинку/будинків незалежно від їх кількості - на 120 кв. метрі</w:t>
      </w:r>
      <w:proofErr w:type="gramStart"/>
      <w:r w:rsidRPr="009549E5">
        <w:t>в</w:t>
      </w:r>
      <w:proofErr w:type="gramEnd"/>
      <w:r w:rsidRPr="009549E5">
        <w:t>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 xml:space="preserve">в) для </w:t>
      </w:r>
      <w:proofErr w:type="gramStart"/>
      <w:r w:rsidRPr="009549E5">
        <w:t>р</w:t>
      </w:r>
      <w:proofErr w:type="gramEnd"/>
      <w:r w:rsidRPr="009549E5">
        <w:t>ізних типів об’єктів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- на 180 кв. метрів.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>Таке зменшення надається один раз за кожний базовий податковий (звітний) період (</w:t>
      </w:r>
      <w:proofErr w:type="gramStart"/>
      <w:r w:rsidRPr="009549E5">
        <w:t>р</w:t>
      </w:r>
      <w:proofErr w:type="gramEnd"/>
      <w:r w:rsidRPr="009549E5">
        <w:t>ік).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proofErr w:type="gramStart"/>
      <w:r w:rsidRPr="009549E5">
        <w:t>П</w:t>
      </w:r>
      <w:proofErr w:type="gramEnd"/>
      <w:r w:rsidRPr="009549E5">
        <w:t>ільги з податку, передбачені</w:t>
      </w:r>
      <w:r w:rsidRPr="009549E5">
        <w:rPr>
          <w:rStyle w:val="apple-converted-space"/>
        </w:rPr>
        <w:t> </w:t>
      </w:r>
      <w:r w:rsidRPr="009549E5">
        <w:rPr>
          <w:lang w:val="uk-UA"/>
        </w:rPr>
        <w:t>цим пунктом</w:t>
      </w:r>
      <w:r w:rsidRPr="009549E5">
        <w:t>, для фізичних осіб не застосовуються до: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>об’єкта/об’єктів оподаткування, якщо площа такого/таких об’єкта/об’єктів перевищує п’ятикратний розмі</w:t>
      </w:r>
      <w:proofErr w:type="gramStart"/>
      <w:r w:rsidRPr="009549E5">
        <w:t>р</w:t>
      </w:r>
      <w:proofErr w:type="gramEnd"/>
      <w:r w:rsidRPr="009549E5">
        <w:t xml:space="preserve"> неоподатковуваної площі, встановленої підпунктом 266.4.1 </w:t>
      </w:r>
      <w:r w:rsidRPr="009549E5">
        <w:rPr>
          <w:lang w:val="uk-UA"/>
        </w:rPr>
        <w:t>Податкового кодексу</w:t>
      </w:r>
      <w:r w:rsidRPr="009549E5">
        <w:t>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lastRenderedPageBreak/>
        <w:t xml:space="preserve">об’єкта/об’єктів оподаткування, що використовуються їх власниками з метою одержання доходів (здаються в оренду, лізинг, позичку, використовуються у </w:t>
      </w:r>
      <w:proofErr w:type="gramStart"/>
      <w:r w:rsidRPr="009549E5">
        <w:t>п</w:t>
      </w:r>
      <w:proofErr w:type="gramEnd"/>
      <w:r w:rsidRPr="009549E5">
        <w:t>ідприємницькій діяльності).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9549E5">
        <w:rPr>
          <w:rFonts w:ascii="Times New Roman" w:hAnsi="Times New Roman" w:cs="Times New Roman"/>
          <w:sz w:val="24"/>
          <w:szCs w:val="24"/>
          <w:lang w:val="uk-UA"/>
        </w:rPr>
        <w:t xml:space="preserve">. Доповнити Додаток 1 рішення </w:t>
      </w:r>
      <w:r w:rsidRPr="009549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lang w:val="uk-UA"/>
        </w:rPr>
        <w:t xml:space="preserve">Тімірязєвської  сільської ради  від 14 липня 2015  року № 1 «Про місцеві податки і збори» 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наступними пунктами: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lang w:val="uk-UA"/>
        </w:rPr>
        <w:t xml:space="preserve"> п. 3 Не є об’єктом оподаткування: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lang w:val="uk-UA"/>
        </w:rPr>
      </w:pPr>
      <w:r w:rsidRPr="009549E5">
        <w:rPr>
          <w:lang w:val="uk-UA"/>
        </w:rPr>
        <w:t>а) об’єкти 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r w:rsidRPr="009549E5">
        <w:rPr>
          <w:lang w:val="uk-UA"/>
        </w:rPr>
        <w:t>б) об’єкти житлової нерухомості, які розташовані в зонах відчуження та безумовного (обов’язкового) відселення, визначені законом, в тому числі їх частки;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>в) буді</w:t>
      </w:r>
      <w:proofErr w:type="gramStart"/>
      <w:r w:rsidRPr="009549E5">
        <w:t>вл</w:t>
      </w:r>
      <w:proofErr w:type="gramEnd"/>
      <w:r w:rsidRPr="009549E5">
        <w:t>і дитячих будинків сімейного типу;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>г) гуртожитки;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 xml:space="preserve">ґ) житлова нерухомість непридатна для проживання, у тому числі у зв’язку з аварійним станом, визнана такою згідно з </w:t>
      </w:r>
      <w:proofErr w:type="gramStart"/>
      <w:r w:rsidRPr="009549E5">
        <w:t>р</w:t>
      </w:r>
      <w:proofErr w:type="gramEnd"/>
      <w:r w:rsidRPr="009549E5">
        <w:t>ішенням сільської, селищної, міської ради або ради об’єднаної територіальної громади, що створена згідно із законом та перспективним планом формування територій громад;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 xml:space="preserve">д) об’єкти житлової нерухомості, в тому числі їх частки, що належать дітям-сиротам, дітям, позбавленим батьківського </w:t>
      </w:r>
      <w:proofErr w:type="gramStart"/>
      <w:r w:rsidRPr="009549E5">
        <w:t>п</w:t>
      </w:r>
      <w:proofErr w:type="gramEnd"/>
      <w:r w:rsidRPr="009549E5">
        <w:t>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об’єкта на дитину;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 xml:space="preserve">з) об’єкти житлової нерухомості, які перебувають у власності громадських організацій інвалідів та їх </w:t>
      </w:r>
      <w:proofErr w:type="gramStart"/>
      <w:r w:rsidRPr="009549E5">
        <w:t>п</w:t>
      </w:r>
      <w:proofErr w:type="gramEnd"/>
      <w:r w:rsidRPr="009549E5">
        <w:t>ідприємств;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 xml:space="preserve">и) об’єкти нерухомості, що перебувають у власності </w:t>
      </w:r>
      <w:proofErr w:type="gramStart"/>
      <w:r w:rsidRPr="009549E5">
        <w:t>рел</w:t>
      </w:r>
      <w:proofErr w:type="gramEnd"/>
      <w:r w:rsidRPr="009549E5">
        <w:t>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 xml:space="preserve">л) об’єкти житлової нерухомості, які належать багатодітним або прийомним сім’ям, у яких виховується </w:t>
      </w:r>
      <w:proofErr w:type="gramStart"/>
      <w:r w:rsidRPr="009549E5">
        <w:t>п’ять</w:t>
      </w:r>
      <w:proofErr w:type="gramEnd"/>
      <w:r w:rsidRPr="009549E5">
        <w:t xml:space="preserve"> та більше дітей.</w:t>
      </w:r>
    </w:p>
    <w:p w:rsidR="00722566" w:rsidRPr="009549E5" w:rsidRDefault="009549E5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22566" w:rsidRPr="009549E5">
        <w:rPr>
          <w:rFonts w:ascii="Times New Roman" w:hAnsi="Times New Roman" w:cs="Times New Roman"/>
          <w:sz w:val="24"/>
          <w:szCs w:val="24"/>
          <w:lang w:val="uk-UA"/>
        </w:rPr>
        <w:t>п 4 Порядок обчислення суми податку: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 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такому порядку: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за наявності у власності платника податку одного об’єкта житлової нерухомості, в тому числі його частки, податок обчислюється, виходячи з бази оподаткування, зменшеної відповідно до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anchor="n11807" w:history="1">
        <w:r w:rsidRPr="009549E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підпунктів "а"</w:t>
        </w:r>
      </w:hyperlink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anchor="n11808" w:history="1">
        <w:r w:rsidRPr="009549E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"б"</w:t>
        </w:r>
      </w:hyperlink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пункту 2 даного рішення, та відповідної ставки податку;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за наявності у власності платника податку більше одного об’єкта житлової нерухомості одного типу, в тому числі їх часток, податок обчислюється виходячи із сумарної загальної 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площі таких об’єктів, зменшеної відповідно до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9" w:anchor="n11807" w:history="1">
        <w:r w:rsidRPr="009549E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підпунктів "а"</w:t>
        </w:r>
      </w:hyperlink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0" w:anchor="n11808" w:history="1">
        <w:r w:rsidRPr="009549E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"б"</w:t>
        </w:r>
      </w:hyperlink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пункту 2 даного рішення, та відповідної ставки податку;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за наявності у власності платника податку об’єктів житлової нерухомості різних видів, у тому числі їх часток, податок обчислюється виходячи із сумарної загальної площі таких об’єктів, зменшеної відповідно до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1" w:anchor="n11809" w:history="1">
        <w:r w:rsidRPr="009549E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підпункту "в"</w:t>
        </w:r>
      </w:hyperlink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пункту 2 даного рішення, та відповідної ставки податку;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сума податку, обчислена з урахуванням підпунктів "б" і "в" цього підпункту, розподіляється контролюючим органом пропорційно до питомої ваги загальної площі кожного з об’єктів житлової нерухомості;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ґ) за наявності у власності платника податку об’єкта (об’єктів) житлової нерухомості, у тому числі його частки, що перебуває у власності фізичної чи юридичної особи - платника податку, загальна площа якого перевищує 300 квадратних метрів (для квартири) та/або 500 квадратних метрів (для будинку), сума податку, розрахована відповідно до </w:t>
      </w: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ідпунктів "а"-"г" цього </w:t>
      </w: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ідпункту, збільшується на 25000 гривень на рік за кожен такий об’єкт житлової нерухомості (його частку).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Обчислення суми податку з об’єкта/об’єктів нежитлової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виходячи із загальної площі кожного з об’єктів нежитлової нерухомості та відповідної ставки податку.</w:t>
      </w:r>
      <w:proofErr w:type="gramEnd"/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Податкове/податкові повідомлення-рішення про сплату суми/сум податку, обчисленого згідно з </w:t>
      </w: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ідпунктом 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 пункту 4 даного рішення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 відповідні платіжні реквізити, зокрема, органів місцевого самоврядування за місцезнаходженням кожного з об’єктів житлової та/або нежитлової нерухомості, надсилаються (вручаються) платнику податку контролюючим органом за місцем його податкової адреси (місцем реєстрації) до 1 липня року, що настає за базовим податковим (звітним) періодом (роком).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новоствореного (нововведеного) об’єкта житлової та/або нежитлової нерухомості податок сплачується фізичною особою-платником починаючи з місяця, в якому виникло право власності на такий об’єкт.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Контролюючі органи за місцем проживання (реєстрації) платників податку в десятиденний строк інформують відповідні контролюючі органи за місцезнаходженням об’єктів житлової та/або нежитлової нерухомості про надіслані (вручені) платнику податку податкові повідомлення-рішення про сплату податку у порядку, встановленому центральним органом виконавчої влади, що забезпечує формування та реалізує державну фінансову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політику.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 податку та надсилання (вручення) податкових повідомлень-рішень про сплату податку фізичним особам - нерезидентам здійснюють контролюючі органи за місцезнаходженням об’єктів житлової та/або нежитлової нерухомості, що перебувають у власності таких нерезиденті</w:t>
      </w: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4.3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Платники податку мають право звернутися з письмовою заявою до контролюючого органу за місцем проживання (реєстрації) для проведення звірки даних щодо: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об’єктів житлової та/або нежитлової нерухомості, </w:t>
      </w: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тому числі їх часток, що перебувають у власності платника податку;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 загальної площі об’єктів житлової та/або нежитлової нерухомості, що перебувають у власності платника податку;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на користування </w:t>
      </w: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ільгою із сплати податку;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 ставки податку;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нарахованої суми податку.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разі виявлення розбіжностей між даними контролюючих органів та даними, підтвердженими платником податку на підставі оригіналів </w:t>
      </w: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ідповідних документів, зокрема документів на право власності, контролюючий орган за місцем проживання (реєстрації) платника податку проводить перерахунок суми податку і надсилає (вручає) йому нове податкове повідомлення-рішення. Попереднє податкове повідомлення-рішення вважається скасованим (відкликаним).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новоствореного (нововведеного) об’єкта житлової нерухомості декларація юридичною особою - платником </w:t>
      </w: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подається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протягом 30 календарних днів з дня виникнення права власності на такий об’єкт, а податок сплачується починаючи з місяця, в якому виникло право власності на такий об’єкт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4.4 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разі переходу права власності на об’єкт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місяця, в якому припинилося право власності на зазначений об’єкт оподаткування, а для нового власника - починаючи з місяця, в якому він набув право власності.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Контролюючий орган надсилає податкове повідомлення-рішення новому власнику </w:t>
      </w: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 отримання інформації про перехід права власності.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 5 </w:t>
      </w:r>
      <w:r w:rsidRPr="009549E5">
        <w:rPr>
          <w:rFonts w:ascii="Times New Roman" w:hAnsi="Times New Roman" w:cs="Times New Roman"/>
          <w:sz w:val="24"/>
          <w:szCs w:val="24"/>
        </w:rPr>
        <w:t>Строки сплати податку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Податкове зобов’язання за звітний 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ік з податку сплачується фізичними особами - протягом 60 днів з дня вручення податкового повідомлення-рішення</w:t>
      </w:r>
      <w:r w:rsidRPr="009549E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9549E5">
        <w:rPr>
          <w:rFonts w:ascii="Times New Roman" w:hAnsi="Times New Roman" w:cs="Times New Roman"/>
          <w:b/>
          <w:sz w:val="24"/>
          <w:szCs w:val="24"/>
          <w:lang w:val="uk-UA"/>
        </w:rPr>
        <w:t>4.</w:t>
      </w:r>
      <w:r w:rsidRPr="009549E5">
        <w:rPr>
          <w:rFonts w:ascii="Times New Roman" w:hAnsi="Times New Roman" w:cs="Times New Roman"/>
          <w:sz w:val="24"/>
          <w:szCs w:val="24"/>
          <w:lang w:val="uk-UA"/>
        </w:rPr>
        <w:t xml:space="preserve"> Доповнити Додаток 2 рішення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Яструбинівської сільської ради від 16 лютого  2016 року № 3 наступними пунктами: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lang w:val="uk-UA"/>
        </w:rPr>
        <w:t>п. 2 Не є об’єктом оподаткування: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lang w:val="uk-UA"/>
        </w:rPr>
        <w:t>а) об’єкти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lang w:val="uk-UA"/>
        </w:rPr>
        <w:t>б) об’єкти нежитлової нерухомості, які розташовані в зонах відчуження та безумовного (обов’язкового) відселення, визначені законом, в тому числі їх частки;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е) об’єкти нежитлової нерухомості, які використовуються суб’єктами господарювання малого та середнього бізнесу, що провадять свою діяльність в малих 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ітектурних формах та на ринках;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>є) буді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 промисловості, зокрема виробничі корпуси, цехи, складські приміщення промислових підприємств;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>ж) буді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і, споруди сільськогосподарських товаровиробників, призначені для використання безпосередньо у сільськогосподарській діяльності;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з) об’єкти нежитлової нерухомості, які перебувають у власності громадських організацій інвалідів та їх 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ідприємств;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lastRenderedPageBreak/>
        <w:t xml:space="preserve">и) об’єкти нерухомості, що перебувають у власності 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рел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>і) буді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 дошкільних та загальноосвітніх навчальних закладів незалежно від форми власності та джерел фінансування, що використовуються для надання освітніх послуг;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ї) об’єкти нежитлової нерухомості державних та комунальних дитячих санаторно-курортних закладів та закладів оздоровлення та відпочинку дітей, а також дитячих санаторно-курортних закладів та закладів оздоровлення і відпочинку дітей, які знаходяться на балансі 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 xml:space="preserve">ідприємств, установ та організацій, які є неприбутковими і внесені контролюючим органом до Реєстру неприбуткових установ та організацій. У разі виключення з Реєстру неприбуткових установ та організацій декларація 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подається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 xml:space="preserve"> платником податку протягом 30 календарних днів з дня виключення, а податок сплачується починаючи з місяця, наступного за місяцем, в якому відбулося виключення з Реєстру неприбуткових установ та організацій;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й) об’єкти нежитлової нерухомості державних та комунальних центрів олімпійської 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 xml:space="preserve">ідготовки, шкіл вищої спортивної майстерності, центрів фізичного здоров’я населення, центрів з розвитку фізичної культури і спорту інвалідів, дитячо-юнацьких спортивних шкіл, а також центрів олімпійської підготовки, шкіл вищої спортивної майстерності, дитячо-юнацьких спортивних шкіл і спортивних споруд всеукраїнських фізкультурно-спортивних товариств, їх місцевих осередків та відокремлених 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 xml:space="preserve">ідрозділів, що є неприбутковими та включені до Реєстру неприбуткових установ та організацій. У разі виключення таких установ та організацій з Реєстру неприбуткових установ та організацій декларація 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подається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 xml:space="preserve"> платником податку протягом 30 календарних днів з дня виключення, а податок сплачується починаючи з місяця, наступного за місяцем, в якому відбулося виключення з Реєстру неприбуткових установ та організацій;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к) об’єкти нежитлової нерухомості баз олімпійської та паралімпійської 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ідготовки. Перелік таких баз затверджується Кабінетом Міні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ів України;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lang w:val="uk-UA"/>
        </w:rPr>
        <w:t xml:space="preserve"> п. 3 Порядок обчислення суми податку: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lang w:val="uk-UA"/>
        </w:rPr>
        <w:t>Обчислення суми податку з об’єкта/об’єктів нежитлової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виходячи із загальної площі кожного з об’єктів нежитлової нерухомості та відповідної ставки податку.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>Платники податку -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об’єкта/об’єктів оподаткування декларацію за </w:t>
      </w:r>
      <w:hyperlink r:id="rId12" w:anchor="n15" w:tgtFrame="_blank" w:history="1">
        <w:r w:rsidRPr="009549E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формою</w:t>
        </w:r>
      </w:hyperlink>
      <w:r w:rsidRPr="009549E5">
        <w:rPr>
          <w:rFonts w:ascii="Times New Roman" w:hAnsi="Times New Roman" w:cs="Times New Roman"/>
          <w:sz w:val="24"/>
          <w:szCs w:val="24"/>
        </w:rPr>
        <w:t>, встановленою у порядку, передбаченому </w:t>
      </w:r>
      <w:hyperlink r:id="rId13" w:anchor="n1144" w:history="1">
        <w:r w:rsidRPr="009549E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статтею 46</w:t>
        </w:r>
      </w:hyperlink>
      <w:r w:rsidRPr="009549E5">
        <w:rPr>
          <w:rFonts w:ascii="Times New Roman" w:hAnsi="Times New Roman" w:cs="Times New Roman"/>
          <w:sz w:val="24"/>
          <w:szCs w:val="24"/>
        </w:rPr>
        <w:t xml:space="preserve"> цього Кодексу, з розбивкою 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ічної суми рівними частками поквартально.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lastRenderedPageBreak/>
        <w:t xml:space="preserve">Щодо новоствореного (нововведеного) об’єкта або нежитлової нерухомості декларація юридичною особою - платником 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подається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 xml:space="preserve"> протягом 30 календарних днів з дня виникнення права власності на такий об’єкт, а податок сплачується починаючи з місяця, в якому виникло право власності на такий об’єкт.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 4 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Строки сплати податку</w:t>
      </w:r>
    </w:p>
    <w:p w:rsidR="00722566" w:rsidRPr="009549E5" w:rsidRDefault="00722566" w:rsidP="00722566">
      <w:pPr>
        <w:shd w:val="clear" w:color="auto" w:fill="FFFFFF"/>
        <w:spacing w:after="0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Податкове зобов’язання за звітний </w:t>
      </w: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ік з податку сплачується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юридичними особами - авансовими внесками щокварталу до 30 числа місяця, що наступає за звітним кварталом, які відображаються в річній податковій декларації";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2566" w:rsidRPr="009549E5" w:rsidRDefault="00722566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722566" w:rsidRPr="009549E5" w:rsidRDefault="00722566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22566" w:rsidRPr="009549E5" w:rsidRDefault="00722566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22566" w:rsidRPr="009549E5" w:rsidRDefault="00722566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22566" w:rsidRDefault="00722566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549E5" w:rsidRDefault="009549E5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549E5" w:rsidRDefault="009549E5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549E5" w:rsidRDefault="009549E5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549E5" w:rsidRDefault="009549E5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549E5" w:rsidRDefault="009549E5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549E5" w:rsidRDefault="009549E5" w:rsidP="00722566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954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F4"/>
    <w:rsid w:val="00066B02"/>
    <w:rsid w:val="00164FC5"/>
    <w:rsid w:val="001D4E9A"/>
    <w:rsid w:val="004019DD"/>
    <w:rsid w:val="00410DF8"/>
    <w:rsid w:val="00476FE4"/>
    <w:rsid w:val="004D1987"/>
    <w:rsid w:val="00634836"/>
    <w:rsid w:val="00722566"/>
    <w:rsid w:val="007A13AA"/>
    <w:rsid w:val="0088745C"/>
    <w:rsid w:val="00911607"/>
    <w:rsid w:val="009549E5"/>
    <w:rsid w:val="009C7CF4"/>
    <w:rsid w:val="00AF19AD"/>
    <w:rsid w:val="00BB07C8"/>
    <w:rsid w:val="00BE78E6"/>
    <w:rsid w:val="00C016A1"/>
    <w:rsid w:val="00DC120D"/>
    <w:rsid w:val="00DE0BE9"/>
    <w:rsid w:val="00EB72AA"/>
    <w:rsid w:val="00F43723"/>
    <w:rsid w:val="00FB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E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78E6"/>
  </w:style>
  <w:style w:type="character" w:styleId="a3">
    <w:name w:val="Hyperlink"/>
    <w:basedOn w:val="a0"/>
    <w:uiPriority w:val="99"/>
    <w:unhideWhenUsed/>
    <w:rsid w:val="00BE78E6"/>
    <w:rPr>
      <w:color w:val="0000FF"/>
      <w:u w:val="single"/>
    </w:rPr>
  </w:style>
  <w:style w:type="character" w:customStyle="1" w:styleId="rvts46">
    <w:name w:val="rvts46"/>
    <w:basedOn w:val="a0"/>
    <w:rsid w:val="00476FE4"/>
  </w:style>
  <w:style w:type="paragraph" w:styleId="a4">
    <w:name w:val="Balloon Text"/>
    <w:basedOn w:val="a"/>
    <w:link w:val="a5"/>
    <w:uiPriority w:val="99"/>
    <w:semiHidden/>
    <w:unhideWhenUsed/>
    <w:rsid w:val="007A1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13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E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78E6"/>
  </w:style>
  <w:style w:type="character" w:styleId="a3">
    <w:name w:val="Hyperlink"/>
    <w:basedOn w:val="a0"/>
    <w:uiPriority w:val="99"/>
    <w:unhideWhenUsed/>
    <w:rsid w:val="00BE78E6"/>
    <w:rPr>
      <w:color w:val="0000FF"/>
      <w:u w:val="single"/>
    </w:rPr>
  </w:style>
  <w:style w:type="character" w:customStyle="1" w:styleId="rvts46">
    <w:name w:val="rvts46"/>
    <w:basedOn w:val="a0"/>
    <w:rsid w:val="00476FE4"/>
  </w:style>
  <w:style w:type="paragraph" w:styleId="a4">
    <w:name w:val="Balloon Text"/>
    <w:basedOn w:val="a"/>
    <w:link w:val="a5"/>
    <w:uiPriority w:val="99"/>
    <w:semiHidden/>
    <w:unhideWhenUsed/>
    <w:rsid w:val="007A1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1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755-17/print1445258969790382" TargetMode="External"/><Relationship Id="rId13" Type="http://schemas.openxmlformats.org/officeDocument/2006/relationships/hyperlink" Target="http://zakon3.rada.gov.ua/laws/show/2755-17/print144525896979038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2755-17/print1445258969790382" TargetMode="External"/><Relationship Id="rId12" Type="http://schemas.openxmlformats.org/officeDocument/2006/relationships/hyperlink" Target="http://zakon3.rada.gov.ua/laws/show/z0479-15/paran1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zakon3.rada.gov.ua/laws/show/2755-17/print144525896979038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akon3.rada.gov.ua/laws/show/2755-17/print144525896979038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2755-17/print144525896979038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87C52-91BD-4F87-83E8-B5AE4971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2332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14</cp:revision>
  <cp:lastPrinted>2017-04-10T12:29:00Z</cp:lastPrinted>
  <dcterms:created xsi:type="dcterms:W3CDTF">2017-02-27T11:39:00Z</dcterms:created>
  <dcterms:modified xsi:type="dcterms:W3CDTF">2017-04-10T12:29:00Z</dcterms:modified>
</cp:coreProperties>
</file>