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C72" w:rsidRPr="000C7857" w:rsidRDefault="00AE50CA" w:rsidP="000C785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4.8pt;margin-top:-.7pt;width:36pt;height:45.4pt;z-index:251658240" wrapcoords="-400 0 -400 16274 400 18937 8800 21304 9200 21304 12400 21304 12800 21304 20800 18937 21600 16274 21600 0 -400 0" fillcolor="window">
            <v:imagedata r:id="rId6" o:title=""/>
            <w10:wrap type="tight"/>
          </v:shape>
          <o:OLEObject Type="Embed" ProgID="Word.Picture.8" ShapeID="_x0000_s1027" DrawAspect="Content" ObjectID="_1705836708" r:id="rId7"/>
        </w:pict>
      </w:r>
    </w:p>
    <w:p w:rsidR="00901C72" w:rsidRPr="000C7857" w:rsidRDefault="00901C72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C7857" w:rsidRPr="000C7857" w:rsidRDefault="000C7857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УКРАЇНА </w:t>
      </w:r>
    </w:p>
    <w:p w:rsidR="00901C72" w:rsidRPr="000C7857" w:rsidRDefault="00901C72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901C72" w:rsidRPr="000C7857" w:rsidRDefault="00901C72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0C7857" w:rsidRPr="000C7857" w:rsidRDefault="000C7857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1C72" w:rsidRPr="000C7857" w:rsidRDefault="0063563D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ПРОЄКТ</w:t>
      </w:r>
    </w:p>
    <w:p w:rsidR="00901C72" w:rsidRPr="000C7857" w:rsidRDefault="000C7857" w:rsidP="000C7857">
      <w:pPr>
        <w:tabs>
          <w:tab w:val="left" w:pos="254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AE50CA">
        <w:rPr>
          <w:rFonts w:ascii="Times New Roman" w:hAnsi="Times New Roman"/>
          <w:sz w:val="28"/>
          <w:szCs w:val="28"/>
        </w:rPr>
        <w:t xml:space="preserve">                          від 11</w:t>
      </w:r>
      <w:r>
        <w:rPr>
          <w:rFonts w:ascii="Times New Roman" w:hAnsi="Times New Roman"/>
          <w:sz w:val="28"/>
          <w:szCs w:val="28"/>
        </w:rPr>
        <w:t xml:space="preserve"> лютого 2022 року</w:t>
      </w:r>
      <w:r w:rsidR="00901C72" w:rsidRPr="000C7857">
        <w:rPr>
          <w:rFonts w:ascii="Times New Roman" w:hAnsi="Times New Roman"/>
          <w:sz w:val="28"/>
          <w:szCs w:val="28"/>
        </w:rPr>
        <w:t xml:space="preserve">     №</w:t>
      </w:r>
      <w:r w:rsidR="00901C72" w:rsidRPr="000C785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3            Х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(позачергова) сесія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скликання</w:t>
      </w:r>
    </w:p>
    <w:p w:rsidR="00901C72" w:rsidRPr="000C7857" w:rsidRDefault="000C7857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901C72" w:rsidRPr="000C7857">
        <w:rPr>
          <w:rFonts w:ascii="Times New Roman" w:hAnsi="Times New Roman"/>
          <w:sz w:val="28"/>
          <w:szCs w:val="28"/>
        </w:rPr>
        <w:t>Про затвердження комплексної програми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захисту прав дітей 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</w:t>
      </w:r>
    </w:p>
    <w:p w:rsidR="00901C72" w:rsidRPr="000C7857" w:rsidRDefault="000C7857" w:rsidP="000C785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«Дитинство» на 2022</w:t>
      </w:r>
      <w:r w:rsidR="00901C72" w:rsidRPr="000C7857">
        <w:rPr>
          <w:rFonts w:ascii="Times New Roman" w:hAnsi="Times New Roman"/>
          <w:sz w:val="28"/>
          <w:szCs w:val="28"/>
        </w:rPr>
        <w:t xml:space="preserve"> – 2023 роки</w:t>
      </w:r>
    </w:p>
    <w:p w:rsidR="00901C72" w:rsidRPr="000C7857" w:rsidRDefault="00901C72" w:rsidP="000C785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Відповідно до пункту 16 ч. 1 статті 43 Закону України «Про місцеве самоврядування в Україні», на підставі законів України «Про охорону дитинства», «Про забезпечення організаційно-правових умов соціального захисту дітей-сиріт та дітей,  позбавлених батьківського піклування», Указу Президента України від 16 грудня 2011 року №1163/ 2011 «Про питання щодо забезпечення реалізації прав дітей в Україні», Указу Президента України від 30 вересня 2019 року № 721 / 2019 «Про деякі питання забезпечення прав та законних інтересів дітей-сиріт та дітей, позбавлених батьківського піклування, розвитку та підтримки сімейних форм виховання», постанов Кабінету Міністрів України від 08 жовтня 2008 року № 905 «Про затвердження Порядку провадження діяльності з усиновлення та здійснення нагляду за дотриманням прав усиновлених дітей» та від 24 вересня 2008 року №866 «Питання діяльності органів опіки та піклування, пов’язаної із захистом прав дитини», сільська рада </w:t>
      </w:r>
    </w:p>
    <w:p w:rsidR="00901C72" w:rsidRPr="000C7857" w:rsidRDefault="00901C72" w:rsidP="000C78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ВИРІШИЛА:</w:t>
      </w:r>
    </w:p>
    <w:p w:rsidR="00901C72" w:rsidRPr="000C7857" w:rsidRDefault="00901C72" w:rsidP="000C785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Затве</w:t>
      </w:r>
      <w:r w:rsidR="000C7857">
        <w:rPr>
          <w:rFonts w:ascii="Times New Roman" w:hAnsi="Times New Roman"/>
          <w:sz w:val="28"/>
          <w:szCs w:val="28"/>
        </w:rPr>
        <w:t xml:space="preserve">рдити </w:t>
      </w:r>
      <w:r w:rsidRPr="000C7857">
        <w:rPr>
          <w:rFonts w:ascii="Times New Roman" w:hAnsi="Times New Roman"/>
          <w:sz w:val="28"/>
          <w:szCs w:val="28"/>
        </w:rPr>
        <w:t xml:space="preserve">Комплексної програми захисту прав дітей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</w:t>
      </w:r>
      <w:r w:rsidR="000C7857">
        <w:rPr>
          <w:rFonts w:ascii="Times New Roman" w:hAnsi="Times New Roman"/>
          <w:sz w:val="28"/>
          <w:szCs w:val="28"/>
        </w:rPr>
        <w:t>льської ради «Дитинство» на 2022 – 2023 роки (</w:t>
      </w:r>
      <w:r w:rsidRPr="000C7857">
        <w:rPr>
          <w:rFonts w:ascii="Times New Roman" w:hAnsi="Times New Roman"/>
          <w:sz w:val="28"/>
          <w:szCs w:val="28"/>
        </w:rPr>
        <w:t>додається</w:t>
      </w:r>
      <w:r w:rsidR="000C7857">
        <w:rPr>
          <w:rFonts w:ascii="Times New Roman" w:hAnsi="Times New Roman"/>
          <w:sz w:val="28"/>
          <w:szCs w:val="28"/>
        </w:rPr>
        <w:t>)</w:t>
      </w:r>
      <w:r w:rsidRPr="000C7857">
        <w:rPr>
          <w:rFonts w:ascii="Times New Roman" w:hAnsi="Times New Roman"/>
          <w:sz w:val="28"/>
          <w:szCs w:val="28"/>
        </w:rPr>
        <w:t>.</w:t>
      </w:r>
    </w:p>
    <w:p w:rsidR="00901C72" w:rsidRPr="000C7857" w:rsidRDefault="000C7857" w:rsidP="000C785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901C72" w:rsidRPr="000C7857">
        <w:rPr>
          <w:rFonts w:ascii="Times New Roman" w:hAnsi="Times New Roman"/>
          <w:sz w:val="28"/>
          <w:szCs w:val="28"/>
        </w:rPr>
        <w:t>онтроль за вико</w:t>
      </w:r>
      <w:r>
        <w:rPr>
          <w:rFonts w:ascii="Times New Roman" w:hAnsi="Times New Roman"/>
          <w:sz w:val="28"/>
          <w:szCs w:val="28"/>
        </w:rPr>
        <w:t>нанням ць</w:t>
      </w:r>
      <w:r w:rsidR="00901C72" w:rsidRPr="000C7857">
        <w:rPr>
          <w:rFonts w:ascii="Times New Roman" w:hAnsi="Times New Roman"/>
          <w:sz w:val="28"/>
          <w:szCs w:val="28"/>
        </w:rPr>
        <w:t xml:space="preserve">ого рішення покласти на </w:t>
      </w:r>
      <w:r>
        <w:rPr>
          <w:rFonts w:ascii="Times New Roman" w:hAnsi="Times New Roman"/>
          <w:sz w:val="28"/>
          <w:szCs w:val="28"/>
        </w:rPr>
        <w:t>постійну комісію з гуманітарних питань (голова Терещенко К.К.)</w:t>
      </w:r>
      <w:r w:rsidR="00901C72" w:rsidRPr="000C7857">
        <w:rPr>
          <w:rFonts w:ascii="Times New Roman" w:hAnsi="Times New Roman"/>
          <w:sz w:val="28"/>
          <w:szCs w:val="28"/>
        </w:rPr>
        <w:t xml:space="preserve"> </w:t>
      </w:r>
    </w:p>
    <w:p w:rsidR="00901C72" w:rsidRDefault="00901C72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63563D" w:rsidP="000C785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C7857">
        <w:rPr>
          <w:rFonts w:ascii="Times New Roman" w:hAnsi="Times New Roman"/>
          <w:sz w:val="28"/>
          <w:szCs w:val="28"/>
        </w:rPr>
        <w:t>Сільський голова:</w:t>
      </w:r>
      <w:r w:rsidR="000C7857">
        <w:rPr>
          <w:rFonts w:ascii="Times New Roman" w:hAnsi="Times New Roman"/>
          <w:sz w:val="28"/>
          <w:szCs w:val="28"/>
        </w:rPr>
        <w:tab/>
        <w:t xml:space="preserve"> </w:t>
      </w:r>
      <w:r w:rsidR="000C7857">
        <w:rPr>
          <w:rFonts w:ascii="Times New Roman" w:hAnsi="Times New Roman"/>
          <w:sz w:val="28"/>
          <w:szCs w:val="28"/>
        </w:rPr>
        <w:tab/>
      </w:r>
      <w:r w:rsidR="000C7857">
        <w:rPr>
          <w:rFonts w:ascii="Times New Roman" w:hAnsi="Times New Roman"/>
          <w:sz w:val="28"/>
          <w:szCs w:val="28"/>
        </w:rPr>
        <w:tab/>
      </w:r>
      <w:r w:rsidR="000C7857">
        <w:rPr>
          <w:rFonts w:ascii="Times New Roman" w:hAnsi="Times New Roman"/>
          <w:sz w:val="28"/>
          <w:szCs w:val="28"/>
        </w:rPr>
        <w:tab/>
      </w:r>
      <w:r w:rsidR="000C7857">
        <w:rPr>
          <w:rFonts w:ascii="Times New Roman" w:hAnsi="Times New Roman"/>
          <w:sz w:val="28"/>
          <w:szCs w:val="28"/>
        </w:rPr>
        <w:tab/>
        <w:t>О.</w:t>
      </w:r>
      <w:r w:rsidR="00901C72" w:rsidRPr="000C7857">
        <w:rPr>
          <w:rFonts w:ascii="Times New Roman" w:hAnsi="Times New Roman"/>
          <w:sz w:val="28"/>
          <w:szCs w:val="28"/>
        </w:rPr>
        <w:t>ТАРАНЕНКО</w:t>
      </w:r>
      <w:r w:rsidR="00901C72" w:rsidRPr="000C7857">
        <w:rPr>
          <w:rFonts w:ascii="Times New Roman" w:hAnsi="Times New Roman"/>
          <w:sz w:val="28"/>
          <w:szCs w:val="28"/>
        </w:rPr>
        <w:tab/>
        <w:t xml:space="preserve"> </w:t>
      </w:r>
    </w:p>
    <w:p w:rsidR="00901C72" w:rsidRDefault="00901C72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3563D" w:rsidRPr="0063563D" w:rsidRDefault="0063563D" w:rsidP="000C7857">
      <w:pPr>
        <w:spacing w:line="240" w:lineRule="auto"/>
        <w:rPr>
          <w:rFonts w:ascii="Times New Roman" w:hAnsi="Times New Roman"/>
        </w:rPr>
      </w:pPr>
      <w:proofErr w:type="spellStart"/>
      <w:r w:rsidRPr="0063563D">
        <w:rPr>
          <w:rFonts w:ascii="Times New Roman" w:eastAsia="Calibri" w:hAnsi="Times New Roman"/>
        </w:rPr>
        <w:t>Проєк</w:t>
      </w:r>
      <w:r>
        <w:rPr>
          <w:rFonts w:ascii="Times New Roman" w:eastAsia="Calibri" w:hAnsi="Times New Roman"/>
        </w:rPr>
        <w:t>т</w:t>
      </w:r>
      <w:proofErr w:type="spellEnd"/>
      <w:r>
        <w:rPr>
          <w:rFonts w:ascii="Times New Roman" w:eastAsia="Calibri" w:hAnsi="Times New Roman"/>
        </w:rPr>
        <w:t xml:space="preserve"> рішення підготувала Гарбуз Т.М.</w:t>
      </w:r>
    </w:p>
    <w:p w:rsidR="0063563D" w:rsidRPr="000C7857" w:rsidRDefault="0063563D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C7857" w:rsidRPr="000C7857" w:rsidRDefault="000C7857" w:rsidP="000C785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0C7857">
        <w:rPr>
          <w:rFonts w:ascii="Times New Roman" w:eastAsia="Calibri" w:hAnsi="Times New Roman"/>
          <w:sz w:val="28"/>
          <w:szCs w:val="28"/>
        </w:rPr>
        <w:lastRenderedPageBreak/>
        <w:t>Додаток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0C7857" w:rsidRPr="000C7857" w:rsidRDefault="000C7857" w:rsidP="000C785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0C7857">
        <w:rPr>
          <w:rFonts w:ascii="Times New Roman" w:eastAsia="Calibri" w:hAnsi="Times New Roman"/>
          <w:sz w:val="28"/>
          <w:szCs w:val="28"/>
        </w:rPr>
        <w:t xml:space="preserve">до рішення </w:t>
      </w:r>
      <w:r w:rsidRPr="000C7857">
        <w:rPr>
          <w:rFonts w:ascii="Times New Roman" w:hAnsi="Times New Roman"/>
          <w:sz w:val="28"/>
          <w:szCs w:val="28"/>
          <w:lang w:eastAsia="ru-RU"/>
        </w:rPr>
        <w:t>ХV (позачергової) сесії VІІІ скликання</w:t>
      </w:r>
      <w:r w:rsidRPr="000C7857">
        <w:rPr>
          <w:rFonts w:ascii="Times New Roman" w:eastAsia="Calibri" w:hAnsi="Times New Roman"/>
          <w:sz w:val="28"/>
          <w:szCs w:val="28"/>
        </w:rPr>
        <w:t xml:space="preserve"> </w:t>
      </w:r>
    </w:p>
    <w:p w:rsidR="000C7857" w:rsidRPr="000C7857" w:rsidRDefault="000C7857" w:rsidP="000C785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proofErr w:type="spellStart"/>
      <w:r w:rsidRPr="000C7857">
        <w:rPr>
          <w:rFonts w:ascii="Times New Roman" w:eastAsia="Calibri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eastAsia="Calibri" w:hAnsi="Times New Roman"/>
          <w:sz w:val="28"/>
          <w:szCs w:val="28"/>
        </w:rPr>
        <w:t xml:space="preserve"> сільської ради</w:t>
      </w:r>
    </w:p>
    <w:p w:rsidR="000C7857" w:rsidRPr="000C7857" w:rsidRDefault="00AE50CA" w:rsidP="000C785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від 11</w:t>
      </w:r>
      <w:bookmarkStart w:id="0" w:name="_GoBack"/>
      <w:bookmarkEnd w:id="0"/>
      <w:r w:rsidR="000C7857" w:rsidRPr="000C7857">
        <w:rPr>
          <w:rFonts w:ascii="Times New Roman" w:eastAsia="Calibri" w:hAnsi="Times New Roman"/>
          <w:sz w:val="28"/>
          <w:szCs w:val="28"/>
        </w:rPr>
        <w:t xml:space="preserve">.02.2022 року № </w:t>
      </w:r>
      <w:r w:rsidR="000C7857">
        <w:rPr>
          <w:rFonts w:ascii="Times New Roman" w:eastAsia="Calibri" w:hAnsi="Times New Roman"/>
          <w:sz w:val="28"/>
          <w:szCs w:val="28"/>
        </w:rPr>
        <w:t>3</w:t>
      </w:r>
    </w:p>
    <w:p w:rsidR="00901C72" w:rsidRPr="000C7857" w:rsidRDefault="005B0605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="00901C72" w:rsidRPr="000C7857">
        <w:rPr>
          <w:rFonts w:ascii="Times New Roman" w:hAnsi="Times New Roman"/>
          <w:b/>
          <w:sz w:val="28"/>
          <w:szCs w:val="28"/>
        </w:rPr>
        <w:t>КОМПЛЕКСНА ПРОГРАМА</w:t>
      </w:r>
    </w:p>
    <w:p w:rsidR="00901C72" w:rsidRPr="000C7857" w:rsidRDefault="00901C72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 xml:space="preserve">захисту прав дітей </w:t>
      </w:r>
      <w:proofErr w:type="spellStart"/>
      <w:r w:rsidRPr="000C7857">
        <w:rPr>
          <w:rFonts w:ascii="Times New Roman" w:hAnsi="Times New Roman"/>
          <w:b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b/>
          <w:sz w:val="28"/>
          <w:szCs w:val="28"/>
        </w:rPr>
        <w:t xml:space="preserve"> сільської ради «Дитинство»</w:t>
      </w:r>
    </w:p>
    <w:p w:rsidR="00901C72" w:rsidRPr="000C7857" w:rsidRDefault="000C7857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</w:t>
      </w:r>
      <w:r w:rsidR="00901C72" w:rsidRPr="000C7857">
        <w:rPr>
          <w:rFonts w:ascii="Times New Roman" w:hAnsi="Times New Roman"/>
          <w:b/>
          <w:sz w:val="28"/>
          <w:szCs w:val="28"/>
        </w:rPr>
        <w:t xml:space="preserve"> – 2023 роки</w:t>
      </w:r>
    </w:p>
    <w:p w:rsidR="00901C72" w:rsidRPr="000C7857" w:rsidRDefault="005B0605" w:rsidP="000C7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901C72" w:rsidRPr="000C7857" w:rsidRDefault="00901C72" w:rsidP="005B060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901C72" w:rsidRPr="000C7857" w:rsidRDefault="005B0605" w:rsidP="005B0605">
      <w:pPr>
        <w:spacing w:after="12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Прибужанівська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сільська рада бере участь у діяльності зі створення сприятливого для дітей середовища, в якому гідний розвиток і захист їх прав забезпечується з дотриманням принципів демократії, рівності, миру, соціальної справедливості з урахуванням моральних засад і традиційних цінностей українського суспільства, спрямованих на зміцнення сім'ї та морального і фізичного здоров'я дітей.</w:t>
      </w:r>
    </w:p>
    <w:p w:rsidR="00901C72" w:rsidRPr="000C7857" w:rsidRDefault="00901C72" w:rsidP="000C7857">
      <w:pPr>
        <w:pStyle w:val="a3"/>
        <w:numPr>
          <w:ilvl w:val="0"/>
          <w:numId w:val="2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ГОЛОВНЕ СПРЯМУВАННЯ ПРОГРАМИ</w:t>
      </w:r>
    </w:p>
    <w:p w:rsidR="00901C72" w:rsidRPr="000C7857" w:rsidRDefault="005B0605" w:rsidP="005B060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Утвердження в суспільстві сімейних цінностей, забезпечення морального здоров'я сім’ї, виховання відповідального батьківства, профілактика правопорушень з боку дітей на сьогодні є одними з пріо</w:t>
      </w:r>
      <w:r>
        <w:rPr>
          <w:rFonts w:ascii="Times New Roman" w:hAnsi="Times New Roman"/>
          <w:sz w:val="28"/>
          <w:szCs w:val="28"/>
        </w:rPr>
        <w:t xml:space="preserve">ритетних напрямів на території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ради. Результативна робота щодо запобігання соціальному сирітству, реабілітації бездоглядних та безпритульних дітей, розвитку</w:t>
      </w:r>
      <w:r>
        <w:rPr>
          <w:rFonts w:ascii="Times New Roman" w:hAnsi="Times New Roman"/>
          <w:sz w:val="28"/>
          <w:szCs w:val="28"/>
        </w:rPr>
        <w:t xml:space="preserve"> сімейних форм виховання дітей, </w:t>
      </w:r>
      <w:r w:rsidR="00901C72" w:rsidRPr="000C7857">
        <w:rPr>
          <w:rFonts w:ascii="Times New Roman" w:hAnsi="Times New Roman"/>
          <w:sz w:val="28"/>
          <w:szCs w:val="28"/>
        </w:rPr>
        <w:t xml:space="preserve">позбавлених батьківського піклування, бездоглядних та безпритульних, схильних до бродяжництва, створює умови для реалізації права кожної дитини на виховання в сім'ї. На території 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 дітей віком від 0 до 18 років – 1</w:t>
      </w:r>
      <w:r>
        <w:rPr>
          <w:rFonts w:ascii="Times New Roman" w:hAnsi="Times New Roman"/>
          <w:sz w:val="28"/>
          <w:szCs w:val="28"/>
        </w:rPr>
        <w:t xml:space="preserve"> 264 осіб, у</w:t>
      </w:r>
      <w:r w:rsidR="00901C72" w:rsidRPr="000C7857">
        <w:rPr>
          <w:rFonts w:ascii="Times New Roman" w:hAnsi="Times New Roman"/>
          <w:sz w:val="28"/>
          <w:szCs w:val="28"/>
        </w:rPr>
        <w:t xml:space="preserve"> тому числі: діти під опікою – 15 осіб.</w:t>
      </w:r>
    </w:p>
    <w:p w:rsidR="00901C72" w:rsidRPr="000C7857" w:rsidRDefault="00901C72" w:rsidP="005B0605">
      <w:pPr>
        <w:pStyle w:val="a3"/>
        <w:numPr>
          <w:ilvl w:val="0"/>
          <w:numId w:val="2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МЕТА ПРОГРАМИ</w:t>
      </w:r>
    </w:p>
    <w:p w:rsidR="00901C72" w:rsidRPr="000C7857" w:rsidRDefault="005B0605" w:rsidP="000C7857">
      <w:pPr>
        <w:spacing w:after="12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Метою Програми є забезпечення оптимального функціонування системи захисту прав дітей</w:t>
      </w:r>
      <w:r>
        <w:rPr>
          <w:rFonts w:ascii="Times New Roman" w:hAnsi="Times New Roman"/>
          <w:sz w:val="28"/>
          <w:szCs w:val="28"/>
        </w:rPr>
        <w:t>,</w:t>
      </w:r>
      <w:r w:rsidR="00901C72" w:rsidRPr="000C78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C7857">
        <w:rPr>
          <w:rFonts w:ascii="Times New Roman" w:hAnsi="Times New Roman"/>
          <w:sz w:val="28"/>
          <w:szCs w:val="28"/>
        </w:rPr>
        <w:t>ропаганда здорового способу життя, захист дітей, які опинилися у складних життєвих ситуаціях, взяття відповідальності за дитину, яка залишила</w:t>
      </w:r>
      <w:r>
        <w:rPr>
          <w:rFonts w:ascii="Times New Roman" w:hAnsi="Times New Roman"/>
          <w:sz w:val="28"/>
          <w:szCs w:val="28"/>
        </w:rPr>
        <w:t xml:space="preserve">ся без батьківського піклування, </w:t>
      </w:r>
      <w:r w:rsidR="00901C72" w:rsidRPr="000C7857">
        <w:rPr>
          <w:rFonts w:ascii="Times New Roman" w:hAnsi="Times New Roman"/>
          <w:sz w:val="28"/>
          <w:szCs w:val="28"/>
        </w:rPr>
        <w:t xml:space="preserve">відповідно до вимог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від 16 грудня 2011 року № 1163/2011 «Про питання щодо забезпечення реалізації прав дітей в Україні», Указу Президента України від 30 вересня 2019 року № 721/2019 «Про деякі питання забезпечення прав та законних інтересів дітей-сиріт та дітей, позбавлених батьківського піклування, розвитку та підтримки сімейних форм виховання», постанов Кабінету Міністрів України від 08 жовтня 2008 року № 905 «Про затвердження Порядку провадження діяльності з усиновлення та здійснення нагляду за дотриманням прав </w:t>
      </w:r>
      <w:r w:rsidR="00901C72" w:rsidRPr="000C7857">
        <w:rPr>
          <w:rFonts w:ascii="Times New Roman" w:hAnsi="Times New Roman"/>
          <w:sz w:val="28"/>
          <w:szCs w:val="28"/>
        </w:rPr>
        <w:lastRenderedPageBreak/>
        <w:t xml:space="preserve">усиновлених дітей» та від 24 вересня 2008 року № 866 «Питання діяльності органів опіки та піклування, пов'язаної із захистом прав дитини». </w:t>
      </w:r>
    </w:p>
    <w:p w:rsidR="005B0605" w:rsidRDefault="00901C72" w:rsidP="005B0605">
      <w:pPr>
        <w:pStyle w:val="a3"/>
        <w:numPr>
          <w:ilvl w:val="0"/>
          <w:numId w:val="2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 xml:space="preserve">ОБГРУНТУВАННЯ ШЛЯХІВ І ЗАСОБІВ </w:t>
      </w:r>
    </w:p>
    <w:p w:rsidR="00901C72" w:rsidRPr="000C7857" w:rsidRDefault="00901C72" w:rsidP="005B0605">
      <w:pPr>
        <w:pStyle w:val="a3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РОЗВЯЗАННЯ ПРОБЛЕМИ</w:t>
      </w:r>
    </w:p>
    <w:p w:rsidR="00901C72" w:rsidRPr="000C7857" w:rsidRDefault="005B0605" w:rsidP="000C7857">
      <w:pPr>
        <w:spacing w:after="12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 xml:space="preserve">Проблема захисту прав дітей є однією з головних завдань для розвитку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ради. Завдяки тісній співпраці з установами та організаціями, за умов сприятливої політики держави,забезпечується ефективна профілактика роботи щодо захисту прав дітей на території 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901C72" w:rsidRPr="000C7857" w:rsidRDefault="00901C72" w:rsidP="005B0605">
      <w:pPr>
        <w:pStyle w:val="a3"/>
        <w:numPr>
          <w:ilvl w:val="0"/>
          <w:numId w:val="2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ПЕРЕЛІК ЗАВДАНЬ І ЗАХОДІВ ПРОГРАМИ</w:t>
      </w:r>
    </w:p>
    <w:p w:rsidR="00901C72" w:rsidRPr="000C7857" w:rsidRDefault="00901C72" w:rsidP="000C7857">
      <w:pPr>
        <w:spacing w:after="12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C7857">
        <w:rPr>
          <w:rFonts w:ascii="Times New Roman" w:hAnsi="Times New Roman"/>
          <w:i/>
          <w:sz w:val="28"/>
          <w:szCs w:val="28"/>
        </w:rPr>
        <w:t>Основними завданнями програми є: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Запобігання соціальному сирітству, подолання бездоглядності та </w:t>
      </w:r>
      <w:r w:rsidR="005B0605">
        <w:rPr>
          <w:rFonts w:ascii="Times New Roman" w:hAnsi="Times New Roman"/>
          <w:sz w:val="28"/>
          <w:szCs w:val="28"/>
        </w:rPr>
        <w:t>безпритульності серед дітей.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Соціальний захист дітей-сиріт та дітей, позбавлен</w:t>
      </w:r>
      <w:r w:rsidR="005B0605">
        <w:rPr>
          <w:rFonts w:ascii="Times New Roman" w:hAnsi="Times New Roman"/>
          <w:sz w:val="28"/>
          <w:szCs w:val="28"/>
        </w:rPr>
        <w:t>их батьківського піклування.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Запобігання використання д</w:t>
      </w:r>
      <w:r w:rsidR="005B0605">
        <w:rPr>
          <w:rFonts w:ascii="Times New Roman" w:hAnsi="Times New Roman"/>
          <w:sz w:val="28"/>
          <w:szCs w:val="28"/>
        </w:rPr>
        <w:t>итячої праці.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Захист прав дітей,</w:t>
      </w:r>
      <w:r w:rsidR="005B0605">
        <w:rPr>
          <w:rFonts w:ascii="Times New Roman" w:hAnsi="Times New Roman"/>
          <w:sz w:val="28"/>
          <w:szCs w:val="28"/>
        </w:rPr>
        <w:t xml:space="preserve"> які вчинили правопорушення.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Підвищення ролі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 у вирішенні питань зах</w:t>
      </w:r>
      <w:r w:rsidR="005B0605">
        <w:rPr>
          <w:rFonts w:ascii="Times New Roman" w:hAnsi="Times New Roman"/>
          <w:sz w:val="28"/>
          <w:szCs w:val="28"/>
        </w:rPr>
        <w:t>исту прав та розвитку дітей.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Методична ро</w:t>
      </w:r>
      <w:r w:rsidR="005B0605">
        <w:rPr>
          <w:rFonts w:ascii="Times New Roman" w:hAnsi="Times New Roman"/>
          <w:sz w:val="28"/>
          <w:szCs w:val="28"/>
        </w:rPr>
        <w:t>бота з питань захисту дітей.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Запобігання та протидія домашньому насильс</w:t>
      </w:r>
      <w:r w:rsidR="005B0605">
        <w:rPr>
          <w:rFonts w:ascii="Times New Roman" w:hAnsi="Times New Roman"/>
          <w:sz w:val="28"/>
          <w:szCs w:val="28"/>
        </w:rPr>
        <w:t>тву стосовно дітей, боулінгу.</w:t>
      </w:r>
    </w:p>
    <w:p w:rsidR="00901C72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Соціальний захист дітей, які постраждали в наслідок воєнних дій та збройних конфліктів, осіб з їх числа. </w:t>
      </w:r>
    </w:p>
    <w:p w:rsidR="005B0605" w:rsidRPr="000C7857" w:rsidRDefault="005B0605" w:rsidP="005B0605">
      <w:pPr>
        <w:pStyle w:val="a3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5B0605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ОЧІКУВАНІ РЕЗУЛЬТАТИ ВИКОНАННЯ ПРОГРАМИ</w:t>
      </w:r>
    </w:p>
    <w:p w:rsidR="00901C72" w:rsidRDefault="005B0605" w:rsidP="000C7857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Виконання Програми дасть можливість: удосконалити систему надання дітям психологічних, соціально-педагогічних, соціально-меди</w:t>
      </w:r>
      <w:r>
        <w:rPr>
          <w:rFonts w:ascii="Times New Roman" w:hAnsi="Times New Roman"/>
          <w:sz w:val="28"/>
          <w:szCs w:val="28"/>
        </w:rPr>
        <w:t xml:space="preserve">чних, юридичних, інформаційних </w:t>
      </w:r>
      <w:r w:rsidR="00901C72" w:rsidRPr="000C7857">
        <w:rPr>
          <w:rFonts w:ascii="Times New Roman" w:hAnsi="Times New Roman"/>
          <w:sz w:val="28"/>
          <w:szCs w:val="28"/>
        </w:rPr>
        <w:t>та інших послуг незалежно від місця проживання; забезпечити підтримку кожної сім'ї, що опинилась в складних життєвих обставинах; забезпечувати соціальний захист дітей, які постраждали в наслідок воєнних дій та збройних конфліктів; активізувати роботу щодо розвитку мережі будинків сімейного типу та підтримки розвитку сімейних форм виховання дітей-сиріт та дітей, позбавлених батьківського піклування, забезпечити висвітлення в ЗМІ питань соціально-правового захисту дітей.</w:t>
      </w:r>
    </w:p>
    <w:p w:rsidR="00901C72" w:rsidRPr="000C7857" w:rsidRDefault="00901C72" w:rsidP="005B0605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РОЗРАХУНОК ОБСЯГІВ ТА ВИЗНАЧЕННЯ ДЖЕРЕЛ ФІНАНСУВАННЯ</w:t>
      </w:r>
    </w:p>
    <w:p w:rsidR="00901C72" w:rsidRPr="000C7857" w:rsidRDefault="005B0605" w:rsidP="000C7857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Реалізація заходів Про</w:t>
      </w:r>
      <w:r>
        <w:rPr>
          <w:rFonts w:ascii="Times New Roman" w:hAnsi="Times New Roman"/>
          <w:sz w:val="28"/>
          <w:szCs w:val="28"/>
        </w:rPr>
        <w:t>грами здійснюється в</w:t>
      </w:r>
      <w:r w:rsidR="00901C72" w:rsidRPr="000C7857">
        <w:rPr>
          <w:rFonts w:ascii="Times New Roman" w:hAnsi="Times New Roman"/>
          <w:sz w:val="28"/>
          <w:szCs w:val="28"/>
        </w:rPr>
        <w:t xml:space="preserve"> межах видатків, передбачених бюджетом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ради, а також за рахунок інших джерел не заборонених чинним законодавством.</w:t>
      </w:r>
    </w:p>
    <w:p w:rsidR="00901C72" w:rsidRPr="000C7857" w:rsidRDefault="00901C72" w:rsidP="000C785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lastRenderedPageBreak/>
        <w:t>КООРДИНАЦІЯ І КОНТРОЛЬ ЗА ВИКОНАННЯМ ПРОГРАМИ</w:t>
      </w:r>
    </w:p>
    <w:p w:rsidR="00901C72" w:rsidRPr="000C7857" w:rsidRDefault="005B0605" w:rsidP="000C7857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Контроль за виконанням завдань і заходів Програми поклас</w:t>
      </w:r>
      <w:r>
        <w:rPr>
          <w:rFonts w:ascii="Times New Roman" w:hAnsi="Times New Roman"/>
          <w:sz w:val="28"/>
          <w:szCs w:val="28"/>
        </w:rPr>
        <w:t xml:space="preserve">ти на службу у справах дітей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ab/>
        <w:t>Звіт про хід виконання ціє</w:t>
      </w:r>
      <w:r w:rsidR="00901C72" w:rsidRPr="000C7857">
        <w:rPr>
          <w:rFonts w:ascii="Times New Roman" w:hAnsi="Times New Roman"/>
          <w:sz w:val="28"/>
          <w:szCs w:val="28"/>
        </w:rPr>
        <w:t>ї Програми заслуховувати щорічно на засіданнях виконавчого комітету сільської ради.</w:t>
      </w:r>
    </w:p>
    <w:p w:rsidR="00901C72" w:rsidRPr="000C7857" w:rsidRDefault="00901C72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1C72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605" w:rsidRDefault="005B0605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605" w:rsidRPr="000C7857" w:rsidRDefault="005B0605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ради: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З.А.Алексєєва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901C72" w:rsidRPr="000C7857" w:rsidRDefault="00901C72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Комплексної програми захисту прав дітей</w:t>
      </w:r>
    </w:p>
    <w:p w:rsidR="00901C72" w:rsidRPr="000C7857" w:rsidRDefault="00901C72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C7857">
        <w:rPr>
          <w:rFonts w:ascii="Times New Roman" w:hAnsi="Times New Roman"/>
          <w:b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b/>
          <w:sz w:val="28"/>
          <w:szCs w:val="28"/>
        </w:rPr>
        <w:t xml:space="preserve"> сільської ради</w:t>
      </w:r>
    </w:p>
    <w:p w:rsidR="00901C72" w:rsidRPr="000C7857" w:rsidRDefault="00901C72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«Дитинство»</w:t>
      </w:r>
    </w:p>
    <w:p w:rsidR="00901C72" w:rsidRPr="000C7857" w:rsidRDefault="005B0605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</w:t>
      </w:r>
      <w:r w:rsidR="00901C72" w:rsidRPr="000C7857">
        <w:rPr>
          <w:rFonts w:ascii="Times New Roman" w:hAnsi="Times New Roman"/>
          <w:b/>
          <w:sz w:val="28"/>
          <w:szCs w:val="28"/>
        </w:rPr>
        <w:t xml:space="preserve"> – 2023 роки</w:t>
      </w:r>
    </w:p>
    <w:p w:rsidR="00901C72" w:rsidRPr="000C7857" w:rsidRDefault="00901C72" w:rsidP="000C785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Ініціатор – служба у справах дітей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901C72" w:rsidRPr="000C7857" w:rsidRDefault="00901C72" w:rsidP="000C7857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Відповідальні виконавці:</w:t>
      </w:r>
    </w:p>
    <w:p w:rsidR="00901C72" w:rsidRPr="000C7857" w:rsidRDefault="005B0605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01C72" w:rsidRPr="000C7857">
        <w:rPr>
          <w:rFonts w:ascii="Times New Roman" w:hAnsi="Times New Roman"/>
          <w:sz w:val="28"/>
          <w:szCs w:val="28"/>
        </w:rPr>
        <w:t xml:space="preserve">иконавчий комітет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ради;</w:t>
      </w:r>
    </w:p>
    <w:p w:rsidR="00901C72" w:rsidRPr="000C7857" w:rsidRDefault="005B0605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01C72" w:rsidRPr="000C7857">
        <w:rPr>
          <w:rFonts w:ascii="Times New Roman" w:hAnsi="Times New Roman"/>
          <w:sz w:val="28"/>
          <w:szCs w:val="28"/>
        </w:rPr>
        <w:t xml:space="preserve">лужба у справах дітей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ради;</w:t>
      </w:r>
    </w:p>
    <w:p w:rsidR="00901C72" w:rsidRPr="000C7857" w:rsidRDefault="005B0605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01C72" w:rsidRPr="000C7857">
        <w:rPr>
          <w:rFonts w:ascii="Times New Roman" w:hAnsi="Times New Roman"/>
          <w:sz w:val="28"/>
          <w:szCs w:val="28"/>
        </w:rPr>
        <w:t xml:space="preserve">ідділ освіти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 ради;</w:t>
      </w:r>
    </w:p>
    <w:p w:rsidR="00901C72" w:rsidRPr="000C7857" w:rsidRDefault="00901C72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КУ «Центр надання соціальних послуг»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ради;</w:t>
      </w:r>
    </w:p>
    <w:p w:rsidR="00901C72" w:rsidRPr="000C7857" w:rsidRDefault="00901C72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КНП «Бузької  первинної медико-санітарної допомоги» Бузь</w:t>
      </w:r>
      <w:r w:rsidR="005B0605">
        <w:rPr>
          <w:rFonts w:ascii="Times New Roman" w:hAnsi="Times New Roman"/>
          <w:sz w:val="28"/>
          <w:szCs w:val="28"/>
        </w:rPr>
        <w:t xml:space="preserve">кої сільської  </w:t>
      </w:r>
      <w:r w:rsidRPr="000C7857">
        <w:rPr>
          <w:rFonts w:ascii="Times New Roman" w:hAnsi="Times New Roman"/>
          <w:sz w:val="28"/>
          <w:szCs w:val="28"/>
        </w:rPr>
        <w:t>ради;</w:t>
      </w:r>
    </w:p>
    <w:p w:rsidR="00901C72" w:rsidRPr="000C7857" w:rsidRDefault="00901C72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відділ соціального захисту населення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ради;</w:t>
      </w:r>
    </w:p>
    <w:p w:rsidR="00901C72" w:rsidRPr="000C7857" w:rsidRDefault="00901C72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Вознесенський ВП ГУНП  в Миколаївській області.</w:t>
      </w:r>
    </w:p>
    <w:p w:rsidR="00901C72" w:rsidRPr="000C7857" w:rsidRDefault="005B0605" w:rsidP="000C7857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Термін виконання – 2022</w:t>
      </w:r>
      <w:r w:rsidR="00901C72" w:rsidRPr="000C7857">
        <w:rPr>
          <w:rFonts w:ascii="Times New Roman" w:hAnsi="Times New Roman"/>
          <w:sz w:val="28"/>
          <w:szCs w:val="28"/>
        </w:rPr>
        <w:t xml:space="preserve"> – 2023 роки.</w:t>
      </w:r>
    </w:p>
    <w:p w:rsidR="00901C72" w:rsidRPr="000C7857" w:rsidRDefault="00901C72" w:rsidP="000C7857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Обсяги та джерела фінансування</w:t>
      </w:r>
    </w:p>
    <w:tbl>
      <w:tblPr>
        <w:tblpPr w:leftFromText="180" w:rightFromText="180" w:vertAnchor="text" w:horzAnchor="margin" w:tblpY="28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3402"/>
        <w:gridCol w:w="2277"/>
        <w:gridCol w:w="1975"/>
      </w:tblGrid>
      <w:tr w:rsidR="00901C72" w:rsidRPr="000C7857" w:rsidTr="002658D0">
        <w:tc>
          <w:tcPr>
            <w:tcW w:w="2093" w:type="dxa"/>
          </w:tcPr>
          <w:p w:rsidR="00901C72" w:rsidRPr="000C7857" w:rsidRDefault="00901C72" w:rsidP="000C7857">
            <w:pPr>
              <w:pStyle w:val="a4"/>
              <w:ind w:left="142" w:hanging="142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901C72" w:rsidRPr="000C7857" w:rsidRDefault="00901C72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 xml:space="preserve">На всю Програму </w:t>
            </w:r>
            <w:r w:rsidR="002658D0">
              <w:rPr>
                <w:sz w:val="28"/>
                <w:szCs w:val="28"/>
                <w:lang w:val="uk-UA"/>
              </w:rPr>
              <w:t xml:space="preserve">                  </w:t>
            </w:r>
            <w:r w:rsidRPr="000C7857">
              <w:rPr>
                <w:sz w:val="28"/>
                <w:szCs w:val="28"/>
                <w:lang w:val="uk-UA"/>
              </w:rPr>
              <w:t>(тис. грн.)</w:t>
            </w:r>
          </w:p>
        </w:tc>
        <w:tc>
          <w:tcPr>
            <w:tcW w:w="4252" w:type="dxa"/>
            <w:gridSpan w:val="2"/>
          </w:tcPr>
          <w:p w:rsidR="00901C72" w:rsidRPr="000C7857" w:rsidRDefault="00901C72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тому числі</w:t>
            </w:r>
          </w:p>
          <w:p w:rsidR="00901C72" w:rsidRPr="000C7857" w:rsidRDefault="00901C72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за роками</w:t>
            </w: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77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975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2023</w:t>
            </w: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C7857">
              <w:rPr>
                <w:sz w:val="28"/>
                <w:szCs w:val="28"/>
                <w:lang w:val="uk-UA"/>
              </w:rPr>
              <w:t>сього:</w:t>
            </w:r>
          </w:p>
        </w:tc>
        <w:tc>
          <w:tcPr>
            <w:tcW w:w="3402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межах наявного фінансового ресурсу</w:t>
            </w:r>
          </w:p>
        </w:tc>
        <w:tc>
          <w:tcPr>
            <w:tcW w:w="2277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межах наявного фінансового ресурсу</w:t>
            </w:r>
          </w:p>
        </w:tc>
        <w:tc>
          <w:tcPr>
            <w:tcW w:w="1975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межах наявного фінансового ресурсу</w:t>
            </w: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3402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5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Місцевий  бюджет</w:t>
            </w:r>
          </w:p>
        </w:tc>
        <w:tc>
          <w:tcPr>
            <w:tcW w:w="3402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77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3402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77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01C72" w:rsidRPr="000C7857" w:rsidRDefault="00901C72" w:rsidP="000C785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Начальник служби у справах дітей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C7857">
        <w:rPr>
          <w:rFonts w:ascii="Times New Roman" w:hAnsi="Times New Roman"/>
          <w:sz w:val="28"/>
          <w:szCs w:val="28"/>
        </w:rPr>
        <w:t>Прибу</w:t>
      </w:r>
      <w:r w:rsidR="002658D0">
        <w:rPr>
          <w:rFonts w:ascii="Times New Roman" w:hAnsi="Times New Roman"/>
          <w:sz w:val="28"/>
          <w:szCs w:val="28"/>
        </w:rPr>
        <w:t>жанівської</w:t>
      </w:r>
      <w:proofErr w:type="spellEnd"/>
      <w:r w:rsidR="002658D0">
        <w:rPr>
          <w:rFonts w:ascii="Times New Roman" w:hAnsi="Times New Roman"/>
          <w:sz w:val="28"/>
          <w:szCs w:val="28"/>
        </w:rPr>
        <w:t xml:space="preserve"> сільської ради</w:t>
      </w:r>
      <w:r w:rsidR="002658D0">
        <w:rPr>
          <w:rFonts w:ascii="Times New Roman" w:hAnsi="Times New Roman"/>
          <w:sz w:val="28"/>
          <w:szCs w:val="28"/>
        </w:rPr>
        <w:tab/>
      </w:r>
      <w:r w:rsidR="002658D0">
        <w:rPr>
          <w:rFonts w:ascii="Times New Roman" w:hAnsi="Times New Roman"/>
          <w:sz w:val="28"/>
          <w:szCs w:val="28"/>
        </w:rPr>
        <w:tab/>
      </w:r>
      <w:r w:rsidR="002658D0">
        <w:rPr>
          <w:rFonts w:ascii="Times New Roman" w:hAnsi="Times New Roman"/>
          <w:sz w:val="28"/>
          <w:szCs w:val="28"/>
        </w:rPr>
        <w:tab/>
      </w:r>
      <w:r w:rsidR="002658D0">
        <w:rPr>
          <w:rFonts w:ascii="Times New Roman" w:hAnsi="Times New Roman"/>
          <w:sz w:val="28"/>
          <w:szCs w:val="28"/>
        </w:rPr>
        <w:tab/>
      </w:r>
      <w:r w:rsidR="002658D0">
        <w:rPr>
          <w:rFonts w:ascii="Times New Roman" w:hAnsi="Times New Roman"/>
          <w:sz w:val="28"/>
          <w:szCs w:val="28"/>
        </w:rPr>
        <w:tab/>
      </w:r>
      <w:r w:rsidRPr="000C7857">
        <w:rPr>
          <w:rFonts w:ascii="Times New Roman" w:hAnsi="Times New Roman"/>
          <w:sz w:val="28"/>
          <w:szCs w:val="28"/>
        </w:rPr>
        <w:t>Тетяна ГАРБУЗ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0E76" w:rsidRPr="000C7857" w:rsidRDefault="00630E76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630E76" w:rsidRPr="000C7857" w:rsidSect="00FD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3171"/>
    <w:multiLevelType w:val="hybridMultilevel"/>
    <w:tmpl w:val="55EA42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DA07C3"/>
    <w:multiLevelType w:val="hybridMultilevel"/>
    <w:tmpl w:val="008C4B58"/>
    <w:lvl w:ilvl="0" w:tplc="D2FEF58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D46F44"/>
    <w:multiLevelType w:val="hybridMultilevel"/>
    <w:tmpl w:val="FC62CAAA"/>
    <w:lvl w:ilvl="0" w:tplc="C91E34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8F6205"/>
    <w:multiLevelType w:val="hybridMultilevel"/>
    <w:tmpl w:val="FB2C910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872017"/>
    <w:multiLevelType w:val="hybridMultilevel"/>
    <w:tmpl w:val="ACCA4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DE"/>
    <w:rsid w:val="000C7857"/>
    <w:rsid w:val="002658D0"/>
    <w:rsid w:val="005B0605"/>
    <w:rsid w:val="00630E76"/>
    <w:rsid w:val="0063563D"/>
    <w:rsid w:val="00901C72"/>
    <w:rsid w:val="00AE50CA"/>
    <w:rsid w:val="00EC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72"/>
    <w:rPr>
      <w:rFonts w:eastAsia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C72"/>
    <w:pPr>
      <w:ind w:left="720"/>
      <w:contextualSpacing/>
    </w:pPr>
  </w:style>
  <w:style w:type="paragraph" w:customStyle="1" w:styleId="a4">
    <w:name w:val="Знак"/>
    <w:basedOn w:val="a"/>
    <w:rsid w:val="00901C7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E5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0CA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72"/>
    <w:rPr>
      <w:rFonts w:eastAsia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C72"/>
    <w:pPr>
      <w:ind w:left="720"/>
      <w:contextualSpacing/>
    </w:pPr>
  </w:style>
  <w:style w:type="paragraph" w:customStyle="1" w:styleId="a4">
    <w:name w:val="Знак"/>
    <w:basedOn w:val="a"/>
    <w:rsid w:val="00901C7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E5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0CA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cp:lastPrinted>2022-02-08T12:45:00Z</cp:lastPrinted>
  <dcterms:created xsi:type="dcterms:W3CDTF">2022-02-02T06:12:00Z</dcterms:created>
  <dcterms:modified xsi:type="dcterms:W3CDTF">2022-02-08T12:45:00Z</dcterms:modified>
</cp:coreProperties>
</file>